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C7" w:rsidRPr="009466C7" w:rsidRDefault="009466C7" w:rsidP="009466C7">
      <w:pPr>
        <w:widowControl/>
        <w:spacing w:before="240" w:after="240"/>
        <w:jc w:val="center"/>
        <w:textAlignment w:val="top"/>
        <w:outlineLvl w:val="0"/>
        <w:rPr>
          <w:rFonts w:ascii="黑体" w:eastAsia="黑体" w:hAnsi="黑体" w:cs="Arial"/>
          <w:b/>
          <w:bCs/>
          <w:color w:val="000000"/>
          <w:kern w:val="36"/>
          <w:sz w:val="32"/>
          <w:szCs w:val="32"/>
        </w:rPr>
      </w:pPr>
      <w:r w:rsidRPr="009466C7">
        <w:rPr>
          <w:rFonts w:ascii="黑体" w:eastAsia="黑体" w:hAnsi="黑体" w:cs="Arial"/>
          <w:b/>
          <w:bCs/>
          <w:color w:val="000000"/>
          <w:kern w:val="36"/>
          <w:sz w:val="32"/>
          <w:szCs w:val="32"/>
        </w:rPr>
        <w:t>辽宁省教育厅办公室关于做好普通高等学校本科课程体系国际化试点专业申报工作的通知</w:t>
      </w:r>
    </w:p>
    <w:p w:rsidR="009466C7" w:rsidRPr="009466C7" w:rsidRDefault="009466C7" w:rsidP="009466C7">
      <w:pPr>
        <w:widowControl/>
        <w:spacing w:before="100" w:beforeAutospacing="1" w:after="100" w:afterAutospacing="1"/>
        <w:ind w:firstLine="480"/>
        <w:jc w:val="center"/>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辽教办发[2015]78号</w:t>
      </w:r>
    </w:p>
    <w:p w:rsidR="009466C7" w:rsidRPr="009466C7" w:rsidRDefault="009466C7" w:rsidP="009466C7">
      <w:pPr>
        <w:widowControl/>
        <w:spacing w:before="100" w:beforeAutospacing="1" w:after="100" w:afterAutospacing="1" w:line="520" w:lineRule="exact"/>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省内各普通高等学校：</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为贯彻落实党的十八大及十八届三中、四中全会精神，深入实施辽宁省“教育国际化推进工程”，进一步提升本科人才培养的国际化水平和人才培养质量，经研究，决定开展普通高校本科课程体系国际化试点专业申报工作，现将有关事宜通知如下：</w:t>
      </w:r>
    </w:p>
    <w:p w:rsidR="009466C7" w:rsidRPr="009466C7" w:rsidRDefault="009466C7" w:rsidP="009466C7">
      <w:pPr>
        <w:widowControl/>
        <w:spacing w:before="100" w:beforeAutospacing="1" w:after="100" w:afterAutospacing="1" w:line="520" w:lineRule="exact"/>
        <w:ind w:firstLineChars="200" w:firstLine="602"/>
        <w:textAlignment w:val="top"/>
        <w:rPr>
          <w:rFonts w:ascii="仿宋_GB2312" w:eastAsia="仿宋_GB2312" w:hAnsi="Arial" w:cs="Arial" w:hint="eastAsia"/>
          <w:b/>
          <w:color w:val="000000"/>
          <w:kern w:val="0"/>
          <w:sz w:val="30"/>
          <w:szCs w:val="30"/>
        </w:rPr>
      </w:pPr>
      <w:r w:rsidRPr="009466C7">
        <w:rPr>
          <w:rFonts w:ascii="仿宋_GB2312" w:eastAsia="仿宋_GB2312" w:hAnsi="Arial" w:cs="Arial" w:hint="eastAsia"/>
          <w:b/>
          <w:color w:val="000000"/>
          <w:kern w:val="0"/>
          <w:sz w:val="30"/>
          <w:szCs w:val="30"/>
        </w:rPr>
        <w:t>一、建设目标</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通过进一步明确专业人才培养目标，重构教学内容和课程体系，改革教学模式、管理模式，建设适应国际化办学的教师队伍、教学资源和质量保障体系等，拓展学生的国际视野，增强学生参与国际竞争的能力，不断提升我省本科专业建设水平和人才培养质量，不断提高我省本科专业的国际知名度和认可度，为辽宁经济社会发展和教育强省建设服务。</w:t>
      </w:r>
    </w:p>
    <w:p w:rsidR="009466C7" w:rsidRPr="009466C7" w:rsidRDefault="009466C7" w:rsidP="009466C7">
      <w:pPr>
        <w:widowControl/>
        <w:spacing w:before="100" w:beforeAutospacing="1" w:after="100" w:afterAutospacing="1" w:line="520" w:lineRule="exact"/>
        <w:ind w:firstLineChars="200" w:firstLine="602"/>
        <w:textAlignment w:val="top"/>
        <w:rPr>
          <w:rFonts w:ascii="仿宋_GB2312" w:eastAsia="仿宋_GB2312" w:hAnsi="Arial" w:cs="Arial" w:hint="eastAsia"/>
          <w:b/>
          <w:color w:val="000000"/>
          <w:kern w:val="0"/>
          <w:sz w:val="30"/>
          <w:szCs w:val="30"/>
        </w:rPr>
      </w:pPr>
      <w:r w:rsidRPr="009466C7">
        <w:rPr>
          <w:rFonts w:ascii="仿宋_GB2312" w:eastAsia="仿宋_GB2312" w:hAnsi="Arial" w:cs="Arial" w:hint="eastAsia"/>
          <w:b/>
          <w:color w:val="000000"/>
          <w:kern w:val="0"/>
          <w:sz w:val="30"/>
          <w:szCs w:val="30"/>
        </w:rPr>
        <w:t>二、建设基础</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1.人才培养方案与国外同类专业接轨，重视在专业建设中借鉴国外高校先进的教育理念、课程设置、教学内容和教学方法。</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2.专业建设负责人具有较高的教学科研水平及1年以上的国外学习、工作经历。专业师资队伍的年龄、职称、学缘结构合</w:t>
      </w:r>
      <w:r w:rsidRPr="009466C7">
        <w:rPr>
          <w:rFonts w:ascii="仿宋_GB2312" w:eastAsia="仿宋_GB2312" w:hAnsi="Arial" w:cs="Arial" w:hint="eastAsia"/>
          <w:color w:val="000000"/>
          <w:kern w:val="0"/>
          <w:sz w:val="30"/>
          <w:szCs w:val="30"/>
        </w:rPr>
        <w:lastRenderedPageBreak/>
        <w:t>理，有良好的专业技术及国外学习、工作背景，有较强的科研及教学研究能力。</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3.重视国际交流与合作，重视教师及学生的国际交流能力的培养，教学条件能够满足国际化建设需要。</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4.课程体系及教学模式体现先进的教育教学理念，建设目标明确、思路清晰。</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5.重视在课程建设中借鉴国外先进的教育理念、教学内容和教学方法，按照国际化高素质专门人才培养要求，不断深化教学改革，并取得明显成效。</w:t>
      </w:r>
    </w:p>
    <w:p w:rsidR="009466C7" w:rsidRPr="009466C7" w:rsidRDefault="009466C7" w:rsidP="009466C7">
      <w:pPr>
        <w:widowControl/>
        <w:spacing w:before="100" w:beforeAutospacing="1" w:after="100" w:afterAutospacing="1" w:line="520" w:lineRule="exact"/>
        <w:ind w:firstLineChars="200" w:firstLine="602"/>
        <w:textAlignment w:val="top"/>
        <w:rPr>
          <w:rFonts w:ascii="仿宋_GB2312" w:eastAsia="仿宋_GB2312" w:hAnsi="Arial" w:cs="Arial" w:hint="eastAsia"/>
          <w:b/>
          <w:color w:val="000000"/>
          <w:kern w:val="0"/>
          <w:sz w:val="30"/>
          <w:szCs w:val="30"/>
        </w:rPr>
      </w:pPr>
      <w:r w:rsidRPr="009466C7">
        <w:rPr>
          <w:rFonts w:ascii="仿宋_GB2312" w:eastAsia="仿宋_GB2312" w:hAnsi="Arial" w:cs="Arial" w:hint="eastAsia"/>
          <w:b/>
          <w:color w:val="000000"/>
          <w:kern w:val="0"/>
          <w:sz w:val="30"/>
          <w:szCs w:val="30"/>
        </w:rPr>
        <w:t>三、建设内容</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1.国际化的人才培养要求。在经济全球化、文化多元化的背景下，改革教学内容、课程体系、教学模式等，着重培养学生宽广的国际化视野和强烈的创新意识，使学生掌握本专业的国际化知识，熟悉国际惯例，具备在跨文化环境下交流、合作和参与国际竞争的能力。</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2.国际化的课程目标。课程目标要体现国际准则和国际化的人才培养要求，立足于课程的国际发展趋势和中国实际，体现灵活性、多样性、创新性，能够突破文化差异的障碍，吸取人类文明的优秀成果。</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3.国际化的课程设置。在公共基础课程中增加国际化教育方面的内容，在选修课程中开设区域研究等课程，同时使课程体系在选修课程比例、学分计算、修读要求等方面与世界大多数国家通常要求保持一致，力争做到具有国际可比性。</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lastRenderedPageBreak/>
        <w:t>4.国际化的课程内容。要关注国际上本学科、专业领域的最新研究动向和专业实践，及时将最新研究成果补充到课程内容中；积极使用、编写和出版具有特色的国际化教材。</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5.国际化的课程教学过程。借鉴国外教学组织形式、方法，改革课堂教学、实践教学和学生考核等各个环节，培养学生自主获取知识的能力，增强学生运用知识分析问题、解决问题的综合能力，促进学生在知识学习过程中形成各类国际化的素质和能力。</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6.国际化的课程实践体系。鼓励学生通过网络与相关国家的学生进行研讨与交流；积极创造条件组织学生开展多种形式的国际交流，到海外实习，使用多语种培养熟悉外国文化、法律和标准的国际化人才。</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7.参与国际评估。有条件的专业要积极参与国际组织实施的教育质量评估项目，提高国际知名度和认可度。</w:t>
      </w:r>
    </w:p>
    <w:p w:rsidR="009466C7" w:rsidRPr="009466C7" w:rsidRDefault="009466C7" w:rsidP="009466C7">
      <w:pPr>
        <w:widowControl/>
        <w:spacing w:before="100" w:beforeAutospacing="1" w:after="100" w:afterAutospacing="1" w:line="520" w:lineRule="exact"/>
        <w:ind w:firstLineChars="200" w:firstLine="602"/>
        <w:textAlignment w:val="top"/>
        <w:rPr>
          <w:rFonts w:ascii="仿宋_GB2312" w:eastAsia="仿宋_GB2312" w:hAnsi="Arial" w:cs="Arial" w:hint="eastAsia"/>
          <w:b/>
          <w:color w:val="000000"/>
          <w:kern w:val="0"/>
          <w:sz w:val="30"/>
          <w:szCs w:val="30"/>
        </w:rPr>
      </w:pPr>
      <w:r w:rsidRPr="009466C7">
        <w:rPr>
          <w:rFonts w:ascii="仿宋_GB2312" w:eastAsia="仿宋_GB2312" w:hAnsi="Arial" w:cs="Arial" w:hint="eastAsia"/>
          <w:b/>
          <w:color w:val="000000"/>
          <w:kern w:val="0"/>
          <w:sz w:val="30"/>
          <w:szCs w:val="30"/>
        </w:rPr>
        <w:t>四、申报条件</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1.学校的优势、特色专业，国际化定位准确，专业设置与国际吻合度高，建设基础好；</w:t>
      </w:r>
      <w:r w:rsidRPr="009466C7">
        <w:rPr>
          <w:rFonts w:ascii="Arial" w:eastAsia="仿宋_GB2312" w:hAnsi="Arial" w:cs="Arial" w:hint="eastAsia"/>
          <w:color w:val="000000"/>
          <w:kern w:val="0"/>
          <w:sz w:val="30"/>
          <w:szCs w:val="30"/>
        </w:rPr>
        <w:t> </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2.具有比较雄厚的师资力量、比较完备的教学条件，在同类专业领域具有明显的优势，社会声誉较好，有利于彰显学校办学特色、提高学校国际知名度；</w:t>
      </w:r>
      <w:r w:rsidRPr="009466C7">
        <w:rPr>
          <w:rFonts w:ascii="Arial" w:eastAsia="仿宋_GB2312" w:hAnsi="Arial" w:cs="Arial" w:hint="eastAsia"/>
          <w:color w:val="000000"/>
          <w:kern w:val="0"/>
          <w:sz w:val="30"/>
          <w:szCs w:val="30"/>
        </w:rPr>
        <w:t> </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3.课程教学条件良好，校内外的实践教学条件能够满足需要，与相关行业、企业有比较密切的联系和有效合作。</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4.学校能够提供充足的专项经费保障。</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lastRenderedPageBreak/>
        <w:t>具体条件请参照《辽宁省普通高等学校本科课程体系国际化试点专业遴选指标体系（试行）》（附件1）</w:t>
      </w:r>
    </w:p>
    <w:p w:rsidR="009466C7" w:rsidRPr="009466C7" w:rsidRDefault="009466C7" w:rsidP="009466C7">
      <w:pPr>
        <w:widowControl/>
        <w:spacing w:before="100" w:beforeAutospacing="1" w:after="100" w:afterAutospacing="1" w:line="520" w:lineRule="exact"/>
        <w:ind w:firstLineChars="200" w:firstLine="602"/>
        <w:textAlignment w:val="top"/>
        <w:rPr>
          <w:rFonts w:ascii="仿宋_GB2312" w:eastAsia="仿宋_GB2312" w:hAnsi="Arial" w:cs="Arial" w:hint="eastAsia"/>
          <w:b/>
          <w:color w:val="000000"/>
          <w:kern w:val="0"/>
          <w:sz w:val="30"/>
          <w:szCs w:val="30"/>
        </w:rPr>
      </w:pPr>
      <w:r w:rsidRPr="009466C7">
        <w:rPr>
          <w:rFonts w:ascii="仿宋_GB2312" w:eastAsia="仿宋_GB2312" w:hAnsi="Arial" w:cs="Arial" w:hint="eastAsia"/>
          <w:b/>
          <w:color w:val="000000"/>
          <w:kern w:val="0"/>
          <w:sz w:val="30"/>
          <w:szCs w:val="30"/>
        </w:rPr>
        <w:t>五、推荐额度</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省内普通本科高校每校可推荐1个。</w:t>
      </w:r>
    </w:p>
    <w:p w:rsidR="009466C7" w:rsidRPr="009466C7" w:rsidRDefault="009466C7" w:rsidP="009466C7">
      <w:pPr>
        <w:widowControl/>
        <w:spacing w:before="100" w:beforeAutospacing="1" w:after="100" w:afterAutospacing="1" w:line="520" w:lineRule="exact"/>
        <w:ind w:firstLineChars="200" w:firstLine="602"/>
        <w:textAlignment w:val="top"/>
        <w:rPr>
          <w:rFonts w:ascii="仿宋_GB2312" w:eastAsia="仿宋_GB2312" w:hAnsi="Arial" w:cs="Arial" w:hint="eastAsia"/>
          <w:b/>
          <w:color w:val="000000"/>
          <w:kern w:val="0"/>
          <w:sz w:val="30"/>
          <w:szCs w:val="30"/>
        </w:rPr>
      </w:pPr>
      <w:r w:rsidRPr="009466C7">
        <w:rPr>
          <w:rFonts w:ascii="仿宋_GB2312" w:eastAsia="仿宋_GB2312" w:hAnsi="Arial" w:cs="Arial" w:hint="eastAsia"/>
          <w:b/>
          <w:color w:val="000000"/>
          <w:kern w:val="0"/>
          <w:sz w:val="30"/>
          <w:szCs w:val="30"/>
        </w:rPr>
        <w:t>六、申报材料及要求</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1.辽宁省普通高等学校本科课程体系国际化试点专业基本信息表（格式见附件2）；</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2.辽宁省普通高等学校本科课程体系国际化试点专业申报书（格式见附件3）</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请于5月25日前，将基本信息表、申报书纸质一式两份报送省教育厅高等教育处，电子版（PDF格式）发送至邮箱。</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七、联系人与联系方式</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省教育厅高等教育处</w:t>
      </w:r>
      <w:r w:rsidRPr="009466C7">
        <w:rPr>
          <w:rFonts w:ascii="Arial" w:eastAsia="仿宋_GB2312" w:hAnsi="Arial" w:cs="Arial" w:hint="eastAsia"/>
          <w:color w:val="000000"/>
          <w:kern w:val="0"/>
          <w:sz w:val="30"/>
          <w:szCs w:val="30"/>
        </w:rPr>
        <w:t>  </w:t>
      </w:r>
      <w:r w:rsidRPr="009466C7">
        <w:rPr>
          <w:rFonts w:ascii="仿宋_GB2312" w:eastAsia="仿宋_GB2312" w:hAnsi="Arial" w:cs="Arial" w:hint="eastAsia"/>
          <w:color w:val="000000"/>
          <w:kern w:val="0"/>
          <w:sz w:val="30"/>
          <w:szCs w:val="30"/>
        </w:rPr>
        <w:t>张</w:t>
      </w:r>
      <w:r w:rsidRPr="009466C7">
        <w:rPr>
          <w:rFonts w:ascii="Arial" w:eastAsia="仿宋_GB2312" w:hAnsi="Arial" w:cs="Arial" w:hint="eastAsia"/>
          <w:color w:val="000000"/>
          <w:kern w:val="0"/>
          <w:sz w:val="30"/>
          <w:szCs w:val="30"/>
        </w:rPr>
        <w:t>  </w:t>
      </w:r>
      <w:r w:rsidRPr="009466C7">
        <w:rPr>
          <w:rFonts w:ascii="仿宋_GB2312" w:eastAsia="仿宋_GB2312" w:hAnsi="Arial" w:cs="Arial" w:hint="eastAsia"/>
          <w:color w:val="000000"/>
          <w:kern w:val="0"/>
          <w:sz w:val="30"/>
          <w:szCs w:val="30"/>
        </w:rPr>
        <w:t>越，联系电话：024-86896698，电子邮箱：gjc86896698@163.com，邮寄地址：沈阳市皇姑区崇山东路46-1号，邮编：110032。</w:t>
      </w:r>
      <w:r w:rsidRPr="009466C7">
        <w:rPr>
          <w:rFonts w:ascii="Arial" w:eastAsia="仿宋_GB2312" w:hAnsi="Arial" w:cs="Arial" w:hint="eastAsia"/>
          <w:color w:val="000000"/>
          <w:kern w:val="0"/>
          <w:sz w:val="30"/>
          <w:szCs w:val="30"/>
        </w:rPr>
        <w:t> </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附件：</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1.</w:t>
      </w:r>
      <w:hyperlink r:id="rId6" w:history="1">
        <w:r w:rsidRPr="009466C7">
          <w:rPr>
            <w:rFonts w:ascii="仿宋_GB2312" w:eastAsia="仿宋_GB2312" w:hAnsi="Arial" w:cs="Arial" w:hint="eastAsia"/>
            <w:color w:val="0000FF"/>
            <w:kern w:val="0"/>
            <w:sz w:val="30"/>
            <w:szCs w:val="30"/>
            <w:u w:val="single"/>
          </w:rPr>
          <w:t>辽宁省普通高等学校本科课程体系国际化试点专业遴选指标体系（试行）</w:t>
        </w:r>
      </w:hyperlink>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t>2.</w:t>
      </w:r>
      <w:hyperlink r:id="rId7" w:history="1">
        <w:r w:rsidRPr="009466C7">
          <w:rPr>
            <w:rFonts w:ascii="仿宋_GB2312" w:eastAsia="仿宋_GB2312" w:hAnsi="Arial" w:cs="Arial" w:hint="eastAsia"/>
            <w:color w:val="0000FF"/>
            <w:kern w:val="0"/>
            <w:sz w:val="30"/>
            <w:szCs w:val="30"/>
            <w:u w:val="single"/>
          </w:rPr>
          <w:t>辽宁省普通高等学校本科课程体系国际化试点专业基本信息表</w:t>
        </w:r>
      </w:hyperlink>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仿宋_GB2312" w:eastAsia="仿宋_GB2312" w:hAnsi="Arial" w:cs="Arial" w:hint="eastAsia"/>
          <w:color w:val="000000"/>
          <w:kern w:val="0"/>
          <w:sz w:val="30"/>
          <w:szCs w:val="30"/>
        </w:rPr>
        <w:lastRenderedPageBreak/>
        <w:t>3.</w:t>
      </w:r>
      <w:hyperlink r:id="rId8" w:history="1">
        <w:r w:rsidRPr="009466C7">
          <w:rPr>
            <w:rFonts w:ascii="仿宋_GB2312" w:eastAsia="仿宋_GB2312" w:hAnsi="Arial" w:cs="Arial" w:hint="eastAsia"/>
            <w:color w:val="0000FF"/>
            <w:kern w:val="0"/>
            <w:sz w:val="30"/>
            <w:szCs w:val="30"/>
            <w:u w:val="single"/>
          </w:rPr>
          <w:t>辽宁省普通高等学校本科课程体系国际化试点专业申报书</w:t>
        </w:r>
      </w:hyperlink>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sidRPr="009466C7">
        <w:rPr>
          <w:rFonts w:ascii="Arial" w:eastAsia="仿宋_GB2312" w:hAnsi="Arial" w:cs="Arial" w:hint="eastAsia"/>
          <w:color w:val="000000"/>
          <w:kern w:val="0"/>
          <w:sz w:val="30"/>
          <w:szCs w:val="30"/>
        </w:rPr>
        <w:t>  </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Pr>
          <w:rFonts w:ascii="仿宋_GB2312" w:eastAsia="仿宋_GB2312" w:hAnsi="Arial" w:cs="Arial" w:hint="eastAsia"/>
          <w:color w:val="000000"/>
          <w:kern w:val="0"/>
          <w:sz w:val="30"/>
          <w:szCs w:val="30"/>
        </w:rPr>
        <w:t xml:space="preserve">                                </w:t>
      </w:r>
      <w:r w:rsidRPr="009466C7">
        <w:rPr>
          <w:rFonts w:ascii="仿宋_GB2312" w:eastAsia="仿宋_GB2312" w:hAnsi="Arial" w:cs="Arial" w:hint="eastAsia"/>
          <w:color w:val="000000"/>
          <w:kern w:val="0"/>
          <w:sz w:val="30"/>
          <w:szCs w:val="30"/>
        </w:rPr>
        <w:t>辽宁省教育厅办公室</w:t>
      </w:r>
    </w:p>
    <w:p w:rsidR="009466C7" w:rsidRPr="009466C7" w:rsidRDefault="009466C7" w:rsidP="009466C7">
      <w:pPr>
        <w:widowControl/>
        <w:spacing w:before="100" w:beforeAutospacing="1" w:after="100" w:afterAutospacing="1" w:line="520" w:lineRule="exact"/>
        <w:ind w:firstLineChars="200" w:firstLine="600"/>
        <w:textAlignment w:val="top"/>
        <w:rPr>
          <w:rFonts w:ascii="仿宋_GB2312" w:eastAsia="仿宋_GB2312" w:hAnsi="Arial" w:cs="Arial" w:hint="eastAsia"/>
          <w:color w:val="000000"/>
          <w:kern w:val="0"/>
          <w:sz w:val="30"/>
          <w:szCs w:val="30"/>
        </w:rPr>
      </w:pPr>
      <w:r>
        <w:rPr>
          <w:rFonts w:ascii="仿宋_GB2312" w:eastAsia="仿宋_GB2312" w:hAnsi="Arial" w:cs="Arial" w:hint="eastAsia"/>
          <w:color w:val="000000"/>
          <w:kern w:val="0"/>
          <w:sz w:val="30"/>
          <w:szCs w:val="30"/>
        </w:rPr>
        <w:t xml:space="preserve">                                 </w:t>
      </w:r>
      <w:r w:rsidRPr="009466C7">
        <w:rPr>
          <w:rFonts w:ascii="仿宋_GB2312" w:eastAsia="仿宋_GB2312" w:hAnsi="Arial" w:cs="Arial" w:hint="eastAsia"/>
          <w:color w:val="000000"/>
          <w:kern w:val="0"/>
          <w:sz w:val="30"/>
          <w:szCs w:val="30"/>
        </w:rPr>
        <w:t>2015年5月13日</w:t>
      </w:r>
    </w:p>
    <w:p w:rsidR="004A664B" w:rsidRPr="009466C7" w:rsidRDefault="004A664B" w:rsidP="009466C7">
      <w:pPr>
        <w:spacing w:line="520" w:lineRule="exact"/>
        <w:ind w:firstLineChars="200" w:firstLine="600"/>
        <w:rPr>
          <w:rFonts w:ascii="仿宋_GB2312" w:eastAsia="仿宋_GB2312" w:hint="eastAsia"/>
          <w:sz w:val="30"/>
          <w:szCs w:val="30"/>
        </w:rPr>
      </w:pPr>
    </w:p>
    <w:sectPr w:rsidR="004A664B" w:rsidRPr="009466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64B" w:rsidRDefault="004A664B" w:rsidP="009466C7">
      <w:r>
        <w:separator/>
      </w:r>
    </w:p>
  </w:endnote>
  <w:endnote w:type="continuationSeparator" w:id="1">
    <w:p w:rsidR="004A664B" w:rsidRDefault="004A664B" w:rsidP="009466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64B" w:rsidRDefault="004A664B" w:rsidP="009466C7">
      <w:r>
        <w:separator/>
      </w:r>
    </w:p>
  </w:footnote>
  <w:footnote w:type="continuationSeparator" w:id="1">
    <w:p w:rsidR="004A664B" w:rsidRDefault="004A664B" w:rsidP="009466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6C7"/>
    <w:rsid w:val="004A664B"/>
    <w:rsid w:val="00946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66C7"/>
    <w:pPr>
      <w:widowControl/>
      <w:spacing w:before="240" w:after="240"/>
      <w:jc w:val="left"/>
      <w:outlineLvl w:val="0"/>
    </w:pPr>
    <w:rPr>
      <w:rFonts w:ascii="宋体" w:eastAsia="宋体" w:hAnsi="宋体" w:cs="宋体"/>
      <w:b/>
      <w:bCs/>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66C7"/>
    <w:rPr>
      <w:sz w:val="18"/>
      <w:szCs w:val="18"/>
    </w:rPr>
  </w:style>
  <w:style w:type="paragraph" w:styleId="a4">
    <w:name w:val="footer"/>
    <w:basedOn w:val="a"/>
    <w:link w:val="Char0"/>
    <w:uiPriority w:val="99"/>
    <w:semiHidden/>
    <w:unhideWhenUsed/>
    <w:rsid w:val="009466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66C7"/>
    <w:rPr>
      <w:sz w:val="18"/>
      <w:szCs w:val="18"/>
    </w:rPr>
  </w:style>
  <w:style w:type="character" w:customStyle="1" w:styleId="1Char">
    <w:name w:val="标题 1 Char"/>
    <w:basedOn w:val="a0"/>
    <w:link w:val="1"/>
    <w:uiPriority w:val="9"/>
    <w:rsid w:val="009466C7"/>
    <w:rPr>
      <w:rFonts w:ascii="宋体" w:eastAsia="宋体" w:hAnsi="宋体" w:cs="宋体"/>
      <w:b/>
      <w:bCs/>
      <w:kern w:val="36"/>
      <w:sz w:val="33"/>
      <w:szCs w:val="33"/>
    </w:rPr>
  </w:style>
  <w:style w:type="character" w:styleId="a5">
    <w:name w:val="Hyperlink"/>
    <w:basedOn w:val="a0"/>
    <w:uiPriority w:val="99"/>
    <w:semiHidden/>
    <w:unhideWhenUsed/>
    <w:rsid w:val="009466C7"/>
    <w:rPr>
      <w:color w:val="0000FF"/>
      <w:u w:val="single"/>
    </w:rPr>
  </w:style>
  <w:style w:type="paragraph" w:styleId="a6">
    <w:name w:val="Normal (Web)"/>
    <w:basedOn w:val="a"/>
    <w:uiPriority w:val="99"/>
    <w:semiHidden/>
    <w:unhideWhenUsed/>
    <w:rsid w:val="009466C7"/>
    <w:pPr>
      <w:widowControl/>
      <w:spacing w:before="100" w:beforeAutospacing="1" w:after="100" w:afterAutospacing="1"/>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0162569">
      <w:bodyDiv w:val="1"/>
      <w:marLeft w:val="0"/>
      <w:marRight w:val="0"/>
      <w:marTop w:val="0"/>
      <w:marBottom w:val="0"/>
      <w:divBdr>
        <w:top w:val="none" w:sz="0" w:space="0" w:color="auto"/>
        <w:left w:val="none" w:sz="0" w:space="0" w:color="auto"/>
        <w:bottom w:val="none" w:sz="0" w:space="0" w:color="auto"/>
        <w:right w:val="none" w:sz="0" w:space="0" w:color="auto"/>
      </w:divBdr>
      <w:divsChild>
        <w:div w:id="1387794749">
          <w:marLeft w:val="0"/>
          <w:marRight w:val="0"/>
          <w:marTop w:val="0"/>
          <w:marBottom w:val="0"/>
          <w:divBdr>
            <w:top w:val="none" w:sz="0" w:space="0" w:color="auto"/>
            <w:left w:val="none" w:sz="0" w:space="0" w:color="auto"/>
            <w:bottom w:val="none" w:sz="0" w:space="0" w:color="auto"/>
            <w:right w:val="none" w:sz="0" w:space="0" w:color="auto"/>
          </w:divBdr>
          <w:divsChild>
            <w:div w:id="1361394374">
              <w:marLeft w:val="0"/>
              <w:marRight w:val="0"/>
              <w:marTop w:val="0"/>
              <w:marBottom w:val="0"/>
              <w:divBdr>
                <w:top w:val="none" w:sz="0" w:space="0" w:color="auto"/>
                <w:left w:val="none" w:sz="0" w:space="0" w:color="auto"/>
                <w:bottom w:val="none" w:sz="0" w:space="0" w:color="auto"/>
                <w:right w:val="none" w:sz="0" w:space="0" w:color="auto"/>
              </w:divBdr>
              <w:divsChild>
                <w:div w:id="1081222759">
                  <w:marLeft w:val="0"/>
                  <w:marRight w:val="0"/>
                  <w:marTop w:val="0"/>
                  <w:marBottom w:val="0"/>
                  <w:divBdr>
                    <w:top w:val="none" w:sz="0" w:space="0" w:color="auto"/>
                    <w:left w:val="none" w:sz="0" w:space="0" w:color="auto"/>
                    <w:bottom w:val="none" w:sz="0" w:space="0" w:color="auto"/>
                    <w:right w:val="none" w:sz="0" w:space="0" w:color="auto"/>
                  </w:divBdr>
                  <w:divsChild>
                    <w:div w:id="1575237274">
                      <w:marLeft w:val="0"/>
                      <w:marRight w:val="0"/>
                      <w:marTop w:val="0"/>
                      <w:marBottom w:val="0"/>
                      <w:divBdr>
                        <w:top w:val="none" w:sz="0" w:space="0" w:color="auto"/>
                        <w:left w:val="none" w:sz="0" w:space="0" w:color="auto"/>
                        <w:bottom w:val="none" w:sz="0" w:space="0" w:color="auto"/>
                        <w:right w:val="none" w:sz="0" w:space="0" w:color="auto"/>
                      </w:divBdr>
                      <w:divsChild>
                        <w:div w:id="1979332681">
                          <w:marLeft w:val="0"/>
                          <w:marRight w:val="0"/>
                          <w:marTop w:val="0"/>
                          <w:marBottom w:val="0"/>
                          <w:divBdr>
                            <w:top w:val="none" w:sz="0" w:space="0" w:color="auto"/>
                            <w:left w:val="none" w:sz="0" w:space="0" w:color="auto"/>
                            <w:bottom w:val="none" w:sz="0" w:space="0" w:color="auto"/>
                            <w:right w:val="none" w:sz="0" w:space="0" w:color="auto"/>
                          </w:divBdr>
                          <w:divsChild>
                            <w:div w:id="1077745155">
                              <w:marLeft w:val="0"/>
                              <w:marRight w:val="0"/>
                              <w:marTop w:val="0"/>
                              <w:marBottom w:val="0"/>
                              <w:divBdr>
                                <w:top w:val="none" w:sz="0" w:space="0" w:color="auto"/>
                                <w:left w:val="none" w:sz="0" w:space="0" w:color="auto"/>
                                <w:bottom w:val="none" w:sz="0" w:space="0" w:color="auto"/>
                                <w:right w:val="none" w:sz="0" w:space="0" w:color="auto"/>
                              </w:divBdr>
                              <w:divsChild>
                                <w:div w:id="1940484789">
                                  <w:marLeft w:val="0"/>
                                  <w:marRight w:val="0"/>
                                  <w:marTop w:val="0"/>
                                  <w:marBottom w:val="0"/>
                                  <w:divBdr>
                                    <w:top w:val="none" w:sz="0" w:space="0" w:color="auto"/>
                                    <w:left w:val="none" w:sz="0" w:space="0" w:color="auto"/>
                                    <w:bottom w:val="none" w:sz="0" w:space="0" w:color="auto"/>
                                    <w:right w:val="none" w:sz="0" w:space="0" w:color="auto"/>
                                  </w:divBdr>
                                  <w:divsChild>
                                    <w:div w:id="385448047">
                                      <w:marLeft w:val="0"/>
                                      <w:marRight w:val="0"/>
                                      <w:marTop w:val="0"/>
                                      <w:marBottom w:val="0"/>
                                      <w:divBdr>
                                        <w:top w:val="none" w:sz="0" w:space="0" w:color="auto"/>
                                        <w:left w:val="none" w:sz="0" w:space="0" w:color="auto"/>
                                        <w:bottom w:val="none" w:sz="0" w:space="0" w:color="auto"/>
                                        <w:right w:val="none" w:sz="0" w:space="0" w:color="auto"/>
                                      </w:divBdr>
                                      <w:divsChild>
                                        <w:div w:id="119078915">
                                          <w:marLeft w:val="0"/>
                                          <w:marRight w:val="0"/>
                                          <w:marTop w:val="0"/>
                                          <w:marBottom w:val="0"/>
                                          <w:divBdr>
                                            <w:top w:val="none" w:sz="0" w:space="0" w:color="auto"/>
                                            <w:left w:val="none" w:sz="0" w:space="0" w:color="auto"/>
                                            <w:bottom w:val="none" w:sz="0" w:space="0" w:color="auto"/>
                                            <w:right w:val="none" w:sz="0" w:space="0" w:color="auto"/>
                                          </w:divBdr>
                                        </w:div>
                                        <w:div w:id="1929844044">
                                          <w:marLeft w:val="0"/>
                                          <w:marRight w:val="0"/>
                                          <w:marTop w:val="0"/>
                                          <w:marBottom w:val="0"/>
                                          <w:divBdr>
                                            <w:top w:val="none" w:sz="0" w:space="0" w:color="auto"/>
                                            <w:left w:val="none" w:sz="0" w:space="0" w:color="auto"/>
                                            <w:bottom w:val="none" w:sz="0" w:space="0" w:color="auto"/>
                                            <w:right w:val="none" w:sz="0" w:space="0" w:color="auto"/>
                                          </w:divBdr>
                                        </w:div>
                                        <w:div w:id="1322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5/0514/20150514082521270.doc" TargetMode="External"/><Relationship Id="rId3" Type="http://schemas.openxmlformats.org/officeDocument/2006/relationships/webSettings" Target="webSettings.xml"/><Relationship Id="rId7" Type="http://schemas.openxmlformats.org/officeDocument/2006/relationships/hyperlink" Target="http://www.upln.cn/uploadfile/2015/0514/2015051408244744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5/0514/20150514082438969.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纪常鲲</dc:creator>
  <cp:keywords/>
  <dc:description/>
  <cp:lastModifiedBy>纪常鲲</cp:lastModifiedBy>
  <cp:revision>2</cp:revision>
  <dcterms:created xsi:type="dcterms:W3CDTF">2015-05-20T06:01:00Z</dcterms:created>
  <dcterms:modified xsi:type="dcterms:W3CDTF">2015-05-20T06:04:00Z</dcterms:modified>
</cp:coreProperties>
</file>