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66" w:rsidRDefault="00AF6F66" w:rsidP="00AF6F66">
      <w:pPr>
        <w:pStyle w:val="a5"/>
        <w:widowControl/>
        <w:shd w:val="clear" w:color="auto" w:fill="FFFFFF"/>
        <w:spacing w:beforeAutospacing="0" w:afterAutospacing="0" w:line="368" w:lineRule="atLeast"/>
        <w:jc w:val="center"/>
        <w:rPr>
          <w:rFonts w:ascii="方正小标宋简体" w:eastAsia="方正小标宋简体" w:hAnsi="微软雅黑" w:cs="微软雅黑" w:hint="eastAsia"/>
          <w:sz w:val="36"/>
          <w:szCs w:val="36"/>
          <w:shd w:val="clear" w:color="auto" w:fill="FFFFFF"/>
        </w:rPr>
      </w:pPr>
      <w:r w:rsidRPr="00AF6F66">
        <w:rPr>
          <w:rFonts w:ascii="方正小标宋简体" w:eastAsia="方正小标宋简体" w:hAnsi="微软雅黑" w:cs="微软雅黑" w:hint="eastAsia"/>
          <w:sz w:val="36"/>
          <w:szCs w:val="36"/>
          <w:shd w:val="clear" w:color="auto" w:fill="FFFFFF"/>
        </w:rPr>
        <w:t>第三届中国“互联网+”大学生创新创业大赛简介</w:t>
      </w:r>
    </w:p>
    <w:p w:rsidR="00AF6F66" w:rsidRPr="00AF6F66" w:rsidRDefault="00AF6F66" w:rsidP="00AF6F66">
      <w:pPr>
        <w:pStyle w:val="a5"/>
        <w:widowControl/>
        <w:shd w:val="clear" w:color="auto" w:fill="FFFFFF"/>
        <w:spacing w:beforeAutospacing="0" w:afterAutospacing="0" w:line="368" w:lineRule="atLeast"/>
        <w:jc w:val="center"/>
        <w:rPr>
          <w:rFonts w:ascii="方正小标宋简体" w:eastAsia="方正小标宋简体" w:hAnsi="微软雅黑" w:cs="微软雅黑" w:hint="eastAsia"/>
          <w:sz w:val="36"/>
          <w:szCs w:val="36"/>
          <w:shd w:val="clear" w:color="auto" w:fill="FFFFFF"/>
        </w:rPr>
      </w:pP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 xml:space="preserve">为贯彻落实《国务院办公厅关于深化高等学校创新创业教育改革的实施意见》（国办发〔2015〕36号），进一步激发高校学生创新创业热情，展示高校创新创业教育成果，搭建大学生创新创业项目与社会投资对接平台，定于2017年3月至10月举办第三届中国“互联网+”大学生创新创业大赛。本届大赛主题为“搏击‘互联网+’新时代 </w:t>
      </w:r>
      <w:r w:rsidRPr="00AF6F66">
        <w:rPr>
          <w:rFonts w:ascii="微软雅黑" w:eastAsia="仿宋_GB2312" w:hAnsi="微软雅黑" w:cs="微软雅黑" w:hint="eastAsia"/>
          <w:sz w:val="30"/>
          <w:szCs w:val="30"/>
          <w:shd w:val="clear" w:color="auto" w:fill="FFFFFF"/>
        </w:rPr>
        <w:t> </w:t>
      </w:r>
      <w:r w:rsidRPr="00AF6F66">
        <w:rPr>
          <w:rFonts w:ascii="仿宋_GB2312" w:eastAsia="仿宋_GB2312" w:hAnsi="微软雅黑" w:cs="微软雅黑" w:hint="eastAsia"/>
          <w:sz w:val="30"/>
          <w:szCs w:val="30"/>
          <w:shd w:val="clear" w:color="auto" w:fill="FFFFFF"/>
        </w:rPr>
        <w:t>壮大创新创业生力军”。</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大赛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重在把大赛作为深化创新创业教育改革的重要抓手，引导各地各高校主动服务创新驱动发展战略，积极开展教学改革探索，把创新创业教育融入人才培养，切实提高高校学生的创新精神、创业意识和创新创业能力。</w:t>
      </w:r>
    </w:p>
    <w:p w:rsidR="00AF6F66" w:rsidRPr="00AF6F66" w:rsidRDefault="00AF6F66" w:rsidP="00AF6F66">
      <w:pPr>
        <w:pStyle w:val="a5"/>
        <w:widowControl/>
        <w:shd w:val="clear" w:color="auto" w:fill="FFFFFF"/>
        <w:spacing w:beforeAutospacing="0" w:afterAutospacing="0" w:line="520" w:lineRule="exact"/>
        <w:ind w:firstLineChars="200" w:firstLine="602"/>
        <w:rPr>
          <w:rFonts w:ascii="仿宋_GB2312" w:eastAsia="仿宋_GB2312" w:hAnsi="微软雅黑" w:cs="微软雅黑" w:hint="eastAsia"/>
          <w:sz w:val="30"/>
          <w:szCs w:val="30"/>
        </w:rPr>
      </w:pPr>
      <w:r w:rsidRPr="00AF6F66">
        <w:rPr>
          <w:rStyle w:val="a6"/>
          <w:rFonts w:ascii="仿宋_GB2312" w:eastAsia="仿宋_GB2312" w:hAnsi="微软雅黑" w:cs="微软雅黑" w:hint="eastAsia"/>
          <w:sz w:val="30"/>
          <w:szCs w:val="30"/>
          <w:shd w:val="clear" w:color="auto" w:fill="FFFFFF"/>
        </w:rPr>
        <w:t>第三届中国“互联网+”大学生创新创业大赛整体介绍</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一、大赛主题</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搏击“互联网+”新时代 壮大创新创业生力军</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二、大赛目的与任务</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lastRenderedPageBreak/>
        <w:t>重在把大赛作为深化创新创业教育改革的重要抓手，引导各地各高校主动服务创新驱动发展战略，积极开展教学改革探索，把创新创业教育融入人才培养，切实提高高校学生的创新精神、创业意识和创新创业能力。</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三、组织机构</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本次大赛由教育部、中央网络安全和信息化领导小组办公室、国家发展和改革委员会、工业和信息化部、人力资源和社会保障部、国家知识产权局、中国科学院、中国工程院、共青团中央和陕西省人民政府共同主办，西安电子科技大学承办。</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大赛设立组织委员会（简称大赛组委会），由教育部部长陈宝生和陕西省省长胡和平担任主任，有关部门负责人作为成员，负责大赛的组织实施。</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大赛设立专家委员会，由中国工程院原常务副院长潘云鹤担任主任、国家知识产权局原局长田力普担任副主任，社会投资机构、行业企业、大学科技园、高校和科研院所专家作为成员，负责参赛项目的评审工作，指导大学生创新创业。</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本次大赛由中国建设银行、中国高校创新创业教育联盟、全国高校创新创业投资服务联盟、中国教育创新校企联盟、中国高校创新创业孵化器联盟、中关村百人会天使投资联盟和全国高校双创教育协作媒体联盟（中国教育电视台、光明校园传媒、中国教育报等）参与协办。</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四、参赛项目要求</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w:t>
      </w:r>
      <w:r w:rsidRPr="00AF6F66">
        <w:rPr>
          <w:rFonts w:ascii="仿宋_GB2312" w:eastAsia="仿宋_GB2312" w:hAnsi="微软雅黑" w:cs="微软雅黑" w:hint="eastAsia"/>
          <w:sz w:val="30"/>
          <w:szCs w:val="30"/>
          <w:shd w:val="clear" w:color="auto" w:fill="FFFFFF"/>
        </w:rPr>
        <w:lastRenderedPageBreak/>
        <w:t>农业、能源、环保等产业转型升级；发挥互联网在社会服务中的作用，创新网络化服务模式，促进互联网与教育、医疗、交通、金融、消费生活等深度融合。参赛项目主要包括以下类型：</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1.“互联网+”现代农业，包括农林牧渔等；</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2.“互联网+”制造业，包括智能硬件、先进制造、工业自动化、生物医药、节能环保、新材料、军工等；</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3.“互联网+”信息技术服务，包括工具软件、社交网络、媒体门户、企业服务等；</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4.“互联网+”文化创意服务，包括广播影视、设计服务、文化艺术、旅游休闲、艺术品交易、广告会展、动漫娱乐、体育竞技等；</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5.“互联网+”商务服务，包括电子商务、消费生活、金融、财经法务、房产家居、高效物流等；</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6.“互联网+”公共服务，包括教育培训、医疗健康、交通、人力资源服务等；</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7.“互联网+”公益创业，以社会价值为导向的非盈利性创业。</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五、参赛对象</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lastRenderedPageBreak/>
        <w:t>根据参赛项目所处的创业阶段、已获投资情况和项目特点，大赛分为创意组、初创组、成长组和就业型创业组。具体参赛条件如下：</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1.创意组。参赛项目具有较好的创意和较为成型的产品原型或服务模式，在2017年5月31日前尚未完成工商登记注册。参赛申报人须为团队负责人，须为普通高等学校在校生（可为本专科生、研究生，不含在职生）。</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2.初创组。参赛项目工商登记注册未满3年（2014年3月1日后注册），且获机构或个人股权投资不超过1轮次。参赛申报人须为初创企业法人代表，须为普通高等学校在校生（可为本专科生、研究生，不含在职生），或毕业5年以内的毕业生（2012之后毕业的本专科生、研究生，不含在职生）。企业法人在大赛通知发布之日后进行变更的不予认可。</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3.成长组。参赛项目工商登记注册3年以上（2014年3月1日前注册）；或工商登记注册未满3年（2014年3月1日后注册），且获机构或个人股权投资2轮次以上（含2轮次）。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4.就业型创业组。参赛项目有效提升大学生就业数量与就业质量，主要面向高职高专院校的创新创业项目（高职高专院校也可申报其他符合条件的组别），其他高校也可申报本组。若参赛项目在2017年5月31日前尚未完成工商登记注册，参赛申报人须为团队负责人，须为普通高等学校在校生（可为本专科生、研究生，不含在职生）。若参赛项目在2017年5月31日前已完成工商登记注册，</w:t>
      </w:r>
      <w:r w:rsidRPr="00AF6F66">
        <w:rPr>
          <w:rFonts w:ascii="仿宋_GB2312" w:eastAsia="仿宋_GB2312" w:hAnsi="微软雅黑" w:cs="微软雅黑" w:hint="eastAsia"/>
          <w:sz w:val="30"/>
          <w:szCs w:val="30"/>
          <w:shd w:val="clear" w:color="auto" w:fill="FFFFFF"/>
        </w:rPr>
        <w:lastRenderedPageBreak/>
        <w:t>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各省、自治区、直辖市教育厅（教委），新疆生产建设兵团教育局，各高等学校负责审核参赛对象资格。</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六、比赛赛制</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名额。每所高校入选全国总决赛团队总数不超过4个。</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全国共产生600个项目入围全国总决赛。通过网上评审，产生120个项目进入全国总决赛现场比赛。</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rPr>
      </w:pPr>
      <w:r w:rsidRPr="00AF6F66">
        <w:rPr>
          <w:rFonts w:ascii="仿宋_GB2312" w:eastAsia="仿宋_GB2312" w:hAnsi="微软雅黑" w:cs="微软雅黑" w:hint="eastAsia"/>
          <w:sz w:val="30"/>
          <w:szCs w:val="30"/>
          <w:shd w:val="clear" w:color="auto" w:fill="FFFFFF"/>
        </w:rPr>
        <w:t>七、赛程安排</w:t>
      </w:r>
    </w:p>
    <w:p w:rsidR="00AF6F66" w:rsidRPr="00AF6F66" w:rsidRDefault="00AF6F66" w:rsidP="00AF6F66">
      <w:pPr>
        <w:pStyle w:val="a5"/>
        <w:widowControl/>
        <w:shd w:val="clear" w:color="auto" w:fill="FFFFFF"/>
        <w:spacing w:beforeAutospacing="0" w:afterAutospacing="0" w:line="520" w:lineRule="exact"/>
        <w:ind w:firstLineChars="200" w:firstLine="602"/>
        <w:rPr>
          <w:rFonts w:ascii="仿宋_GB2312" w:eastAsia="仿宋_GB2312" w:hAnsi="微软雅黑" w:cs="微软雅黑" w:hint="eastAsia"/>
          <w:sz w:val="30"/>
          <w:szCs w:val="30"/>
        </w:rPr>
      </w:pPr>
      <w:r w:rsidRPr="00AF6F66">
        <w:rPr>
          <w:rStyle w:val="a6"/>
          <w:rFonts w:ascii="仿宋_GB2312" w:eastAsia="仿宋_GB2312" w:hAnsi="微软雅黑" w:cs="微软雅黑" w:hint="eastAsia"/>
          <w:sz w:val="30"/>
          <w:szCs w:val="30"/>
          <w:shd w:val="clear" w:color="auto" w:fill="FFFFFF"/>
        </w:rPr>
        <w:lastRenderedPageBreak/>
        <w:t>1.参赛报名（3-5月）。</w:t>
      </w:r>
      <w:r w:rsidRPr="00AF6F66">
        <w:rPr>
          <w:rFonts w:ascii="仿宋_GB2312" w:eastAsia="仿宋_GB2312" w:hAnsi="微软雅黑" w:cs="微软雅黑" w:hint="eastAsia"/>
          <w:sz w:val="30"/>
          <w:szCs w:val="30"/>
          <w:shd w:val="clear" w:color="auto" w:fill="FFFFFF"/>
        </w:rPr>
        <w:t>参赛团队可通过登录“全国大学生创业服务网”（cy.ncss.org.cn）或大赛微信公众号（名称为“大学生创业服务网”）任一方式进行报名。报名系统开放时间为2017年3月23日，截止时间由各省（区、市）根据复赛安排自行决定，但不得晚于8月31日。</w:t>
      </w:r>
    </w:p>
    <w:p w:rsidR="00AF6F66" w:rsidRPr="00AF6F66" w:rsidRDefault="00AF6F66" w:rsidP="00AF6F66">
      <w:pPr>
        <w:pStyle w:val="a5"/>
        <w:widowControl/>
        <w:shd w:val="clear" w:color="auto" w:fill="FFFFFF"/>
        <w:spacing w:beforeAutospacing="0" w:afterAutospacing="0" w:line="520" w:lineRule="exact"/>
        <w:ind w:firstLineChars="200" w:firstLine="602"/>
        <w:rPr>
          <w:rFonts w:ascii="仿宋_GB2312" w:eastAsia="仿宋_GB2312" w:hAnsi="微软雅黑" w:cs="微软雅黑" w:hint="eastAsia"/>
          <w:sz w:val="30"/>
          <w:szCs w:val="30"/>
        </w:rPr>
      </w:pPr>
      <w:r w:rsidRPr="00AF6F66">
        <w:rPr>
          <w:rStyle w:val="a6"/>
          <w:rFonts w:ascii="仿宋_GB2312" w:eastAsia="仿宋_GB2312" w:hAnsi="微软雅黑" w:cs="微软雅黑" w:hint="eastAsia"/>
          <w:sz w:val="30"/>
          <w:szCs w:val="30"/>
          <w:shd w:val="clear" w:color="auto" w:fill="FFFFFF"/>
        </w:rPr>
        <w:t>2.初赛复赛（6-9月）。</w:t>
      </w:r>
      <w:r w:rsidRPr="00AF6F66">
        <w:rPr>
          <w:rFonts w:ascii="仿宋_GB2312" w:eastAsia="仿宋_GB2312" w:hAnsi="微软雅黑" w:cs="微软雅黑" w:hint="eastAsia"/>
          <w:sz w:val="30"/>
          <w:szCs w:val="30"/>
          <w:shd w:val="clear" w:color="auto" w:fill="FFFFFF"/>
        </w:rPr>
        <w:t>各省（区、市）各高校登录“全国大学生创业服务网”（cy.ncss.org.cn）进行报名信息的查看和管理。省级账号由大赛组委会统一创建及分配；校级账号由各省（区、市）进行创建、分配及管理。初赛复赛的比赛环节、评审方式等由各高校、各省（区、市）自行决定。各省（区、市）在9月15日前完成省级复赛，遴选参加全国总决赛的候选项目（推荐项目应有名次排序，供全国总决赛参考）。</w:t>
      </w:r>
    </w:p>
    <w:p w:rsidR="00AF6F66" w:rsidRPr="00AF6F66" w:rsidRDefault="00AF6F66" w:rsidP="00AF6F66">
      <w:pPr>
        <w:pStyle w:val="a5"/>
        <w:widowControl/>
        <w:shd w:val="clear" w:color="auto" w:fill="FFFFFF"/>
        <w:spacing w:beforeAutospacing="0" w:afterAutospacing="0" w:line="520" w:lineRule="exact"/>
        <w:ind w:firstLineChars="200" w:firstLine="602"/>
        <w:rPr>
          <w:rFonts w:ascii="仿宋_GB2312" w:eastAsia="仿宋_GB2312" w:hAnsi="微软雅黑" w:cs="微软雅黑" w:hint="eastAsia"/>
          <w:sz w:val="30"/>
          <w:szCs w:val="30"/>
        </w:rPr>
      </w:pPr>
      <w:r w:rsidRPr="00AF6F66">
        <w:rPr>
          <w:rStyle w:val="a6"/>
          <w:rFonts w:ascii="仿宋_GB2312" w:eastAsia="仿宋_GB2312" w:hAnsi="微软雅黑" w:cs="微软雅黑" w:hint="eastAsia"/>
          <w:sz w:val="30"/>
          <w:szCs w:val="30"/>
          <w:shd w:val="clear" w:color="auto" w:fill="FFFFFF"/>
        </w:rPr>
        <w:t>3.全国总决赛（10月中下旬）。</w:t>
      </w:r>
      <w:r w:rsidRPr="00AF6F66">
        <w:rPr>
          <w:rFonts w:ascii="仿宋_GB2312" w:eastAsia="仿宋_GB2312" w:hAnsi="微软雅黑" w:cs="微软雅黑" w:hint="eastAsia"/>
          <w:sz w:val="30"/>
          <w:szCs w:val="30"/>
          <w:shd w:val="clear" w:color="auto" w:fill="FFFFFF"/>
        </w:rPr>
        <w:t>大赛评审委员会对入围全国总决赛项目进行网上评审，择优选拔120个项目进行现场比赛，决出金、银奖。</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hint="eastAsia"/>
          <w:sz w:val="30"/>
          <w:szCs w:val="30"/>
          <w:shd w:val="clear" w:color="auto" w:fill="FFFFFF"/>
        </w:rPr>
      </w:pPr>
      <w:r w:rsidRPr="00AF6F66">
        <w:rPr>
          <w:rFonts w:ascii="仿宋_GB2312" w:eastAsia="仿宋_GB2312" w:hAnsi="微软雅黑" w:cs="微软雅黑" w:hint="eastAsia"/>
          <w:sz w:val="30"/>
          <w:szCs w:val="30"/>
          <w:shd w:val="clear" w:color="auto" w:fill="FFFFFF"/>
        </w:rPr>
        <w:t>大赛组委会将通过“全国大学生创业服务网”为参赛团队提供项目展示、创业指导、投资对接等服务。各项目团队可以登录“全国大学生创业服务网”查看相关信息。各省（区、市）可以利用网站提供的资源，为参赛团队做好服务。</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hAnsi="微软雅黑" w:cs="微软雅黑"/>
          <w:sz w:val="30"/>
          <w:szCs w:val="30"/>
          <w:shd w:val="clear" w:color="auto" w:fill="FFFFFF"/>
        </w:rPr>
      </w:pPr>
      <w:r w:rsidRPr="00AF6F66">
        <w:rPr>
          <w:rFonts w:ascii="仿宋_GB2312" w:eastAsia="仿宋_GB2312" w:hAnsi="微软雅黑" w:cs="微软雅黑" w:hint="eastAsia"/>
          <w:sz w:val="30"/>
          <w:szCs w:val="30"/>
          <w:shd w:val="clear" w:color="auto" w:fill="FFFFFF"/>
        </w:rPr>
        <w:t>八、评审规则</w:t>
      </w:r>
    </w:p>
    <w:p w:rsidR="00AF6F66" w:rsidRPr="00AF6F66" w:rsidRDefault="00AF6F66" w:rsidP="00AF6F66">
      <w:pPr>
        <w:pStyle w:val="a5"/>
        <w:widowControl/>
        <w:shd w:val="clear" w:color="auto" w:fill="FFFFFF"/>
        <w:spacing w:beforeAutospacing="0" w:afterAutospacing="0" w:line="520" w:lineRule="exact"/>
        <w:ind w:firstLineChars="200" w:firstLine="602"/>
        <w:rPr>
          <w:rFonts w:ascii="仿宋_GB2312" w:eastAsia="仿宋_GB2312" w:hAnsi="微软雅黑" w:cs="微软雅黑"/>
          <w:sz w:val="30"/>
          <w:szCs w:val="30"/>
          <w:shd w:val="clear" w:color="auto" w:fill="FFFFFF"/>
        </w:rPr>
      </w:pPr>
      <w:r w:rsidRPr="00AF6F66">
        <w:rPr>
          <w:rFonts w:ascii="仿宋_GB2312" w:eastAsia="仿宋_GB2312" w:hint="eastAsia"/>
          <w:b/>
          <w:sz w:val="30"/>
          <w:szCs w:val="30"/>
          <w:shd w:val="clear" w:color="auto" w:fill="FFFFFF"/>
        </w:rPr>
        <w:t>（一）、创意组项目评审要点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81"/>
        <w:gridCol w:w="6932"/>
        <w:gridCol w:w="1043"/>
      </w:tblGrid>
      <w:tr w:rsidR="00AF6F66" w:rsidRPr="00AF6F66" w:rsidTr="00AF6F66">
        <w:tc>
          <w:tcPr>
            <w:tcW w:w="1381"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评审要点</w:t>
            </w:r>
          </w:p>
        </w:tc>
        <w:tc>
          <w:tcPr>
            <w:tcW w:w="6932"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评审内容</w:t>
            </w:r>
          </w:p>
        </w:tc>
        <w:tc>
          <w:tcPr>
            <w:tcW w:w="104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分值</w:t>
            </w:r>
          </w:p>
        </w:tc>
      </w:tr>
      <w:tr w:rsidR="00AF6F66" w:rsidRPr="00AF6F66" w:rsidTr="00AF6F66">
        <w:tc>
          <w:tcPr>
            <w:tcW w:w="1381"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创新性</w:t>
            </w:r>
          </w:p>
        </w:tc>
        <w:tc>
          <w:tcPr>
            <w:tcW w:w="6932"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突出原始创意的价值，不鼓励模仿。强调利用互联网技术、方法和思维在销售、研发、生产、物流、信息、人力、管理等方面寻求突破和创新。鼓励项目与高校科技成果转移转化相结合。</w:t>
            </w:r>
          </w:p>
        </w:tc>
        <w:tc>
          <w:tcPr>
            <w:tcW w:w="104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40</w:t>
            </w:r>
          </w:p>
        </w:tc>
      </w:tr>
      <w:tr w:rsidR="00AF6F66" w:rsidRPr="00AF6F66" w:rsidTr="00AF6F66">
        <w:tc>
          <w:tcPr>
            <w:tcW w:w="1381"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团队情况</w:t>
            </w:r>
          </w:p>
        </w:tc>
        <w:tc>
          <w:tcPr>
            <w:tcW w:w="6932"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考察管理团队各成员的教育和工作背景、价值观念、擅长领域，成员的分</w:t>
            </w:r>
            <w:r w:rsidRPr="00AF6F66">
              <w:rPr>
                <w:rFonts w:ascii="宋体" w:eastAsia="宋体" w:hAnsi="宋体" w:cs="微软雅黑" w:hint="eastAsia"/>
                <w:sz w:val="21"/>
                <w:szCs w:val="21"/>
              </w:rPr>
              <w:lastRenderedPageBreak/>
              <w:t>工和业务互补情况；公司的组织构架、人员配置安排是否科学；创业顾问，主要投资人和持股情况；战略合作企业及其与本项目的关系，团队是否具有实现这种突破的具体方案和可能的资源基础。</w:t>
            </w:r>
          </w:p>
        </w:tc>
        <w:tc>
          <w:tcPr>
            <w:tcW w:w="104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lastRenderedPageBreak/>
              <w:t>30</w:t>
            </w:r>
          </w:p>
        </w:tc>
      </w:tr>
      <w:tr w:rsidR="00AF6F66" w:rsidRPr="00AF6F66" w:rsidTr="00AF6F66">
        <w:tc>
          <w:tcPr>
            <w:tcW w:w="1381"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lastRenderedPageBreak/>
              <w:t>商业性</w:t>
            </w:r>
          </w:p>
        </w:tc>
        <w:tc>
          <w:tcPr>
            <w:tcW w:w="6932"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104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25</w:t>
            </w:r>
          </w:p>
        </w:tc>
      </w:tr>
      <w:tr w:rsidR="00AF6F66" w:rsidRPr="00AF6F66" w:rsidTr="00AF6F66">
        <w:tc>
          <w:tcPr>
            <w:tcW w:w="1381"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带动就业前景</w:t>
            </w:r>
          </w:p>
        </w:tc>
        <w:tc>
          <w:tcPr>
            <w:tcW w:w="6932"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综合考察项目发展战略和规模扩张策略的合理性和可行性，预判项目可能带动社会就业的能力。</w:t>
            </w:r>
          </w:p>
        </w:tc>
        <w:tc>
          <w:tcPr>
            <w:tcW w:w="104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5</w:t>
            </w:r>
          </w:p>
        </w:tc>
      </w:tr>
    </w:tbl>
    <w:p w:rsidR="00AF6F66" w:rsidRDefault="00AF6F66" w:rsidP="00AF6F66">
      <w:pPr>
        <w:pStyle w:val="a5"/>
        <w:widowControl/>
        <w:spacing w:beforeAutospacing="0" w:afterAutospacing="0" w:line="555" w:lineRule="atLeast"/>
        <w:ind w:firstLine="705"/>
        <w:rPr>
          <w:rFonts w:ascii="微软雅黑" w:eastAsia="微软雅黑" w:hAnsi="微软雅黑" w:cs="微软雅黑"/>
          <w:szCs w:val="24"/>
        </w:rPr>
      </w:pPr>
      <w:r>
        <w:rPr>
          <w:rFonts w:ascii="微软雅黑" w:eastAsia="微软雅黑" w:hAnsi="微软雅黑" w:cs="微软雅黑" w:hint="eastAsia"/>
          <w:szCs w:val="24"/>
        </w:rPr>
        <w:t> </w:t>
      </w:r>
    </w:p>
    <w:p w:rsidR="00AF6F66" w:rsidRPr="00AF6F66" w:rsidRDefault="00AF6F66" w:rsidP="00AF6F66">
      <w:pPr>
        <w:pStyle w:val="a5"/>
        <w:widowControl/>
        <w:shd w:val="clear" w:color="auto" w:fill="FFFFFF"/>
        <w:spacing w:beforeAutospacing="0" w:afterAutospacing="0" w:line="520" w:lineRule="exact"/>
        <w:ind w:firstLineChars="200" w:firstLine="480"/>
        <w:rPr>
          <w:rFonts w:ascii="仿宋_GB2312" w:eastAsia="仿宋_GB2312"/>
          <w:b/>
          <w:sz w:val="30"/>
          <w:szCs w:val="30"/>
          <w:shd w:val="clear" w:color="auto" w:fill="FFFFFF"/>
        </w:rPr>
      </w:pPr>
      <w:r>
        <w:rPr>
          <w:rFonts w:ascii="微软雅黑" w:eastAsia="微软雅黑" w:hAnsi="微软雅黑" w:cs="微软雅黑" w:hint="eastAsia"/>
          <w:szCs w:val="24"/>
        </w:rPr>
        <w:br w:type="page"/>
      </w:r>
      <w:r w:rsidRPr="00AF6F66">
        <w:rPr>
          <w:rFonts w:ascii="仿宋_GB2312" w:eastAsia="仿宋_GB2312" w:hint="eastAsia"/>
          <w:b/>
          <w:sz w:val="30"/>
          <w:szCs w:val="30"/>
          <w:shd w:val="clear" w:color="auto" w:fill="FFFFFF"/>
        </w:rPr>
        <w:lastRenderedPageBreak/>
        <w:t> </w:t>
      </w:r>
      <w:bookmarkStart w:id="0" w:name="_GoBack"/>
      <w:bookmarkEnd w:id="0"/>
      <w:r w:rsidRPr="00AF6F66">
        <w:rPr>
          <w:rFonts w:ascii="仿宋_GB2312" w:eastAsia="仿宋_GB2312" w:hint="eastAsia"/>
          <w:b/>
          <w:sz w:val="30"/>
          <w:szCs w:val="30"/>
          <w:shd w:val="clear" w:color="auto" w:fill="FFFFFF"/>
        </w:rPr>
        <w:t>（二）、初创组、成长组项目评审要点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4"/>
        <w:gridCol w:w="7304"/>
        <w:gridCol w:w="788"/>
      </w:tblGrid>
      <w:tr w:rsidR="00AF6F66" w:rsidRPr="00AF6F66" w:rsidTr="00AF6F66">
        <w:tc>
          <w:tcPr>
            <w:tcW w:w="142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评审要点</w:t>
            </w:r>
          </w:p>
        </w:tc>
        <w:tc>
          <w:tcPr>
            <w:tcW w:w="8390"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评审内容</w:t>
            </w:r>
          </w:p>
        </w:tc>
        <w:tc>
          <w:tcPr>
            <w:tcW w:w="874"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分值</w:t>
            </w:r>
          </w:p>
        </w:tc>
      </w:tr>
      <w:tr w:rsidR="00AF6F66" w:rsidRPr="00AF6F66" w:rsidTr="00AF6F66">
        <w:tc>
          <w:tcPr>
            <w:tcW w:w="142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Fonts w:ascii="宋体" w:eastAsia="宋体" w:hAnsi="宋体" w:cs="微软雅黑" w:hint="eastAsia"/>
                <w:sz w:val="21"/>
                <w:szCs w:val="21"/>
              </w:rPr>
              <w:t>商业性</w:t>
            </w:r>
          </w:p>
        </w:tc>
        <w:tc>
          <w:tcPr>
            <w:tcW w:w="8390"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rPr>
                <w:rFonts w:ascii="宋体" w:eastAsia="宋体" w:hAnsi="宋体" w:cs="微软雅黑"/>
                <w:sz w:val="21"/>
                <w:szCs w:val="21"/>
              </w:rPr>
            </w:pPr>
            <w:r w:rsidRPr="00AF6F66">
              <w:rPr>
                <w:rFonts w:ascii="宋体" w:eastAsia="宋体" w:hAnsi="宋体" w:cs="微软雅黑" w:hint="eastAsia"/>
                <w:sz w:val="21"/>
                <w:szCs w:val="21"/>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74"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Fonts w:ascii="宋体" w:eastAsia="宋体" w:hAnsi="宋体" w:cs="微软雅黑" w:hint="eastAsia"/>
                <w:sz w:val="21"/>
                <w:szCs w:val="21"/>
              </w:rPr>
              <w:t>40</w:t>
            </w:r>
          </w:p>
        </w:tc>
      </w:tr>
      <w:tr w:rsidR="00AF6F66" w:rsidRPr="00AF6F66" w:rsidTr="00AF6F66">
        <w:tc>
          <w:tcPr>
            <w:tcW w:w="142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Fonts w:ascii="宋体" w:eastAsia="宋体" w:hAnsi="宋体" w:cs="微软雅黑" w:hint="eastAsia"/>
                <w:sz w:val="21"/>
                <w:szCs w:val="21"/>
              </w:rPr>
              <w:t>团队情况</w:t>
            </w:r>
          </w:p>
        </w:tc>
        <w:tc>
          <w:tcPr>
            <w:tcW w:w="8390"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rPr>
                <w:rFonts w:ascii="宋体" w:eastAsia="宋体" w:hAnsi="宋体" w:cs="微软雅黑"/>
                <w:sz w:val="21"/>
                <w:szCs w:val="21"/>
              </w:rPr>
            </w:pPr>
            <w:r w:rsidRPr="00AF6F66">
              <w:rPr>
                <w:rFonts w:ascii="宋体" w:eastAsia="宋体" w:hAnsi="宋体" w:cs="微软雅黑" w:hint="eastAsia"/>
                <w:sz w:val="21"/>
                <w:szCs w:val="21"/>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74"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Fonts w:ascii="宋体" w:eastAsia="宋体" w:hAnsi="宋体" w:cs="微软雅黑" w:hint="eastAsia"/>
                <w:sz w:val="21"/>
                <w:szCs w:val="21"/>
              </w:rPr>
              <w:t>30</w:t>
            </w:r>
          </w:p>
        </w:tc>
      </w:tr>
      <w:tr w:rsidR="00AF6F66" w:rsidRPr="00AF6F66" w:rsidTr="00AF6F66">
        <w:tc>
          <w:tcPr>
            <w:tcW w:w="142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Fonts w:ascii="宋体" w:eastAsia="宋体" w:hAnsi="宋体" w:cs="微软雅黑" w:hint="eastAsia"/>
                <w:sz w:val="21"/>
                <w:szCs w:val="21"/>
              </w:rPr>
              <w:t>创新性</w:t>
            </w:r>
          </w:p>
        </w:tc>
        <w:tc>
          <w:tcPr>
            <w:tcW w:w="8390"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rPr>
                <w:rFonts w:ascii="宋体" w:eastAsia="宋体" w:hAnsi="宋体" w:cs="微软雅黑"/>
                <w:sz w:val="21"/>
                <w:szCs w:val="21"/>
              </w:rPr>
            </w:pPr>
            <w:r w:rsidRPr="00AF6F66">
              <w:rPr>
                <w:rFonts w:ascii="宋体" w:eastAsia="宋体" w:hAnsi="宋体" w:cs="微软雅黑" w:hint="eastAsia"/>
                <w:sz w:val="21"/>
                <w:szCs w:val="21"/>
              </w:rPr>
              <w:t>突出原始创意的价值，不鼓励模仿。强调利用互联网技术、方法、思维在销售、研发、生产、物流、信息、人力、管理等方面寻求突破和创新。鼓励项目与高校科技成果转移转化相结合。</w:t>
            </w:r>
          </w:p>
        </w:tc>
        <w:tc>
          <w:tcPr>
            <w:tcW w:w="874"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Fonts w:ascii="宋体" w:eastAsia="宋体" w:hAnsi="宋体" w:cs="微软雅黑" w:hint="eastAsia"/>
                <w:sz w:val="21"/>
                <w:szCs w:val="21"/>
              </w:rPr>
              <w:t>20</w:t>
            </w:r>
          </w:p>
        </w:tc>
      </w:tr>
      <w:tr w:rsidR="00AF6F66" w:rsidRPr="00AF6F66" w:rsidTr="00AF6F66">
        <w:tc>
          <w:tcPr>
            <w:tcW w:w="142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Fonts w:ascii="宋体" w:eastAsia="宋体" w:hAnsi="宋体" w:cs="微软雅黑" w:hint="eastAsia"/>
                <w:sz w:val="21"/>
                <w:szCs w:val="21"/>
              </w:rPr>
              <w:t>带动就业情况</w:t>
            </w:r>
          </w:p>
        </w:tc>
        <w:tc>
          <w:tcPr>
            <w:tcW w:w="8390"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rPr>
                <w:rFonts w:ascii="宋体" w:eastAsia="宋体" w:hAnsi="宋体" w:cs="微软雅黑"/>
                <w:sz w:val="21"/>
                <w:szCs w:val="21"/>
              </w:rPr>
            </w:pPr>
            <w:r w:rsidRPr="00AF6F66">
              <w:rPr>
                <w:rFonts w:ascii="宋体" w:eastAsia="宋体" w:hAnsi="宋体" w:cs="微软雅黑" w:hint="eastAsia"/>
                <w:sz w:val="21"/>
                <w:szCs w:val="21"/>
              </w:rPr>
              <w:t>考察项目增加社会就业份额，发展战略和扩张的策略合理性，上下产业链的密切程度和带动效率、其他社会效益。</w:t>
            </w:r>
          </w:p>
        </w:tc>
        <w:tc>
          <w:tcPr>
            <w:tcW w:w="874"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345" w:lineRule="atLeast"/>
              <w:jc w:val="center"/>
              <w:rPr>
                <w:rFonts w:ascii="宋体" w:eastAsia="宋体" w:hAnsi="宋体" w:cs="微软雅黑"/>
                <w:sz w:val="21"/>
                <w:szCs w:val="21"/>
              </w:rPr>
            </w:pPr>
            <w:r w:rsidRPr="00AF6F66">
              <w:rPr>
                <w:rFonts w:ascii="宋体" w:eastAsia="宋体" w:hAnsi="宋体" w:cs="微软雅黑" w:hint="eastAsia"/>
                <w:sz w:val="21"/>
                <w:szCs w:val="21"/>
              </w:rPr>
              <w:t>10</w:t>
            </w:r>
          </w:p>
        </w:tc>
      </w:tr>
    </w:tbl>
    <w:p w:rsidR="00AF6F66" w:rsidRPr="00AF6F66" w:rsidRDefault="00AF6F66" w:rsidP="00AF6F66">
      <w:pPr>
        <w:pStyle w:val="a5"/>
        <w:widowControl/>
        <w:spacing w:beforeAutospacing="0" w:afterAutospacing="0" w:line="555" w:lineRule="atLeast"/>
        <w:ind w:firstLine="555"/>
        <w:rPr>
          <w:rFonts w:ascii="仿宋_GB2312" w:eastAsia="仿宋_GB2312"/>
          <w:b/>
          <w:sz w:val="30"/>
          <w:szCs w:val="30"/>
          <w:shd w:val="clear" w:color="auto" w:fill="FFFFFF"/>
        </w:rPr>
      </w:pPr>
      <w:r>
        <w:rPr>
          <w:rFonts w:ascii="微软雅黑" w:eastAsia="微软雅黑" w:hAnsi="微软雅黑" w:cs="微软雅黑" w:hint="eastAsia"/>
          <w:szCs w:val="24"/>
        </w:rPr>
        <w:t> </w:t>
      </w:r>
      <w:r w:rsidRPr="00AF6F66">
        <w:rPr>
          <w:rFonts w:ascii="仿宋_GB2312" w:eastAsia="仿宋_GB2312" w:hint="eastAsia"/>
          <w:b/>
          <w:sz w:val="30"/>
          <w:szCs w:val="30"/>
          <w:shd w:val="clear" w:color="auto" w:fill="FFFFFF"/>
        </w:rPr>
        <w:t>（三）、就业型创业项目评审要点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1"/>
        <w:gridCol w:w="1825"/>
        <w:gridCol w:w="5356"/>
        <w:gridCol w:w="914"/>
      </w:tblGrid>
      <w:tr w:rsidR="00AF6F66" w:rsidRPr="00AF6F66" w:rsidTr="00AF6F66">
        <w:tc>
          <w:tcPr>
            <w:tcW w:w="1423"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评审要点</w:t>
            </w:r>
          </w:p>
        </w:tc>
        <w:tc>
          <w:tcPr>
            <w:tcW w:w="2077"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得分形式</w:t>
            </w: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评审内容</w:t>
            </w:r>
          </w:p>
        </w:tc>
        <w:tc>
          <w:tcPr>
            <w:tcW w:w="1022" w:type="dxa"/>
            <w:shd w:val="clear" w:color="auto" w:fill="auto"/>
            <w:tcMar>
              <w:left w:w="105" w:type="dxa"/>
              <w:right w:w="105" w:type="dxa"/>
            </w:tcMa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Style w:val="a6"/>
                <w:rFonts w:ascii="宋体" w:eastAsia="宋体" w:hAnsi="宋体" w:cs="微软雅黑" w:hint="eastAsia"/>
                <w:sz w:val="21"/>
                <w:szCs w:val="21"/>
              </w:rPr>
              <w:t>分值</w:t>
            </w:r>
          </w:p>
        </w:tc>
      </w:tr>
      <w:tr w:rsidR="00AF6F66" w:rsidRPr="00AF6F66" w:rsidTr="00AF6F66">
        <w:trPr>
          <w:trHeight w:val="480"/>
        </w:trPr>
        <w:tc>
          <w:tcPr>
            <w:tcW w:w="1423"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项目团队</w:t>
            </w:r>
          </w:p>
        </w:tc>
        <w:tc>
          <w:tcPr>
            <w:tcW w:w="2077"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加总得分</w:t>
            </w: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团队成员互补与协调性</w:t>
            </w:r>
          </w:p>
        </w:tc>
        <w:tc>
          <w:tcPr>
            <w:tcW w:w="1022"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20</w:t>
            </w:r>
          </w:p>
        </w:tc>
      </w:tr>
      <w:tr w:rsidR="00AF6F66" w:rsidRPr="00AF6F66" w:rsidTr="00AF6F66">
        <w:trPr>
          <w:trHeight w:val="480"/>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组织结构设置合理性</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r w:rsidR="00AF6F66" w:rsidRPr="00AF6F66" w:rsidTr="00AF6F66">
        <w:trPr>
          <w:trHeight w:val="480"/>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股权结构设置合理性</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r w:rsidR="00AF6F66" w:rsidRPr="00AF6F66" w:rsidTr="00AF6F66">
        <w:trPr>
          <w:trHeight w:val="645"/>
        </w:trPr>
        <w:tc>
          <w:tcPr>
            <w:tcW w:w="1423"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商业性</w:t>
            </w:r>
          </w:p>
        </w:tc>
        <w:tc>
          <w:tcPr>
            <w:tcW w:w="2077"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加总得分</w:t>
            </w: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生存性和盈利能力</w:t>
            </w:r>
          </w:p>
        </w:tc>
        <w:tc>
          <w:tcPr>
            <w:tcW w:w="1022"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20</w:t>
            </w:r>
          </w:p>
        </w:tc>
      </w:tr>
      <w:tr w:rsidR="00AF6F66" w:rsidRPr="00AF6F66" w:rsidTr="00AF6F66">
        <w:trPr>
          <w:trHeight w:val="645"/>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可行性和完整性</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r w:rsidR="00AF6F66" w:rsidRPr="00AF6F66" w:rsidTr="00AF6F66">
        <w:trPr>
          <w:trHeight w:val="645"/>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可复制性</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r w:rsidR="00AF6F66" w:rsidRPr="00AF6F66" w:rsidTr="00AF6F66">
        <w:trPr>
          <w:trHeight w:val="480"/>
        </w:trPr>
        <w:tc>
          <w:tcPr>
            <w:tcW w:w="1423"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创新性</w:t>
            </w:r>
          </w:p>
        </w:tc>
        <w:tc>
          <w:tcPr>
            <w:tcW w:w="2077"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单项得分（满足任一单项得满分）</w:t>
            </w: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岗位创新</w:t>
            </w:r>
          </w:p>
        </w:tc>
        <w:tc>
          <w:tcPr>
            <w:tcW w:w="1022"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20</w:t>
            </w:r>
          </w:p>
        </w:tc>
      </w:tr>
      <w:tr w:rsidR="00AF6F66" w:rsidRPr="00AF6F66" w:rsidTr="00AF6F66">
        <w:trPr>
          <w:trHeight w:val="480"/>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技能创新</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r w:rsidR="00AF6F66" w:rsidRPr="00AF6F66" w:rsidTr="00AF6F66">
        <w:trPr>
          <w:trHeight w:val="480"/>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技术创新</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r w:rsidR="00AF6F66" w:rsidRPr="00AF6F66" w:rsidTr="00AF6F66">
        <w:trPr>
          <w:trHeight w:val="480"/>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产业协同创新</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r w:rsidR="00AF6F66" w:rsidRPr="00AF6F66" w:rsidTr="00AF6F66">
        <w:trPr>
          <w:trHeight w:val="480"/>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模式创新</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r w:rsidR="00AF6F66" w:rsidRPr="00AF6F66" w:rsidTr="00AF6F66">
        <w:trPr>
          <w:trHeight w:val="840"/>
        </w:trPr>
        <w:tc>
          <w:tcPr>
            <w:tcW w:w="1423"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带动就业</w:t>
            </w:r>
          </w:p>
        </w:tc>
        <w:tc>
          <w:tcPr>
            <w:tcW w:w="2077"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加总得分</w:t>
            </w: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与当地经济发展紧密结合，促进区域社会经济转型升级</w:t>
            </w:r>
          </w:p>
        </w:tc>
        <w:tc>
          <w:tcPr>
            <w:tcW w:w="1022" w:type="dxa"/>
            <w:vMerge w:val="restart"/>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jc w:val="center"/>
              <w:rPr>
                <w:rFonts w:ascii="宋体" w:eastAsia="宋体" w:hAnsi="宋体" w:cs="微软雅黑"/>
                <w:sz w:val="21"/>
                <w:szCs w:val="21"/>
              </w:rPr>
            </w:pPr>
            <w:r w:rsidRPr="00AF6F66">
              <w:rPr>
                <w:rFonts w:ascii="宋体" w:eastAsia="宋体" w:hAnsi="宋体" w:cs="微软雅黑" w:hint="eastAsia"/>
                <w:sz w:val="21"/>
                <w:szCs w:val="21"/>
              </w:rPr>
              <w:t>40</w:t>
            </w:r>
          </w:p>
        </w:tc>
      </w:tr>
      <w:tr w:rsidR="00AF6F66" w:rsidRPr="00AF6F66" w:rsidTr="00AF6F66">
        <w:trPr>
          <w:trHeight w:val="840"/>
        </w:trPr>
        <w:tc>
          <w:tcPr>
            <w:tcW w:w="1423"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2077"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c>
          <w:tcPr>
            <w:tcW w:w="6165" w:type="dxa"/>
            <w:shd w:val="clear" w:color="auto" w:fill="auto"/>
            <w:tcMar>
              <w:left w:w="105" w:type="dxa"/>
              <w:right w:w="105" w:type="dxa"/>
            </w:tcMar>
            <w:vAlign w:val="center"/>
          </w:tcPr>
          <w:p w:rsidR="00AF6F66" w:rsidRPr="00AF6F66" w:rsidRDefault="00AF6F66" w:rsidP="004C66CA">
            <w:pPr>
              <w:pStyle w:val="a5"/>
              <w:widowControl/>
              <w:spacing w:beforeAutospacing="0" w:after="128" w:afterAutospacing="0" w:line="480" w:lineRule="atLeast"/>
              <w:rPr>
                <w:rFonts w:ascii="宋体" w:eastAsia="宋体" w:hAnsi="宋体" w:cs="微软雅黑"/>
                <w:sz w:val="21"/>
                <w:szCs w:val="21"/>
              </w:rPr>
            </w:pPr>
            <w:r w:rsidRPr="00AF6F66">
              <w:rPr>
                <w:rFonts w:ascii="宋体" w:eastAsia="宋体" w:hAnsi="宋体" w:cs="微软雅黑" w:hint="eastAsia"/>
                <w:sz w:val="21"/>
                <w:szCs w:val="21"/>
              </w:rPr>
              <w:t>带动就业人数</w:t>
            </w:r>
          </w:p>
        </w:tc>
        <w:tc>
          <w:tcPr>
            <w:tcW w:w="1022" w:type="dxa"/>
            <w:vMerge/>
            <w:shd w:val="clear" w:color="auto" w:fill="auto"/>
            <w:tcMar>
              <w:left w:w="105" w:type="dxa"/>
              <w:right w:w="105" w:type="dxa"/>
            </w:tcMar>
            <w:vAlign w:val="center"/>
          </w:tcPr>
          <w:p w:rsidR="00AF6F66" w:rsidRPr="00AF6F66" w:rsidRDefault="00AF6F66" w:rsidP="004C66CA">
            <w:pPr>
              <w:rPr>
                <w:rFonts w:ascii="宋体" w:eastAsia="宋体" w:hAnsi="宋体" w:cs="微软雅黑"/>
                <w:szCs w:val="21"/>
              </w:rPr>
            </w:pPr>
          </w:p>
        </w:tc>
      </w:tr>
    </w:tbl>
    <w:p w:rsidR="00AF6F66" w:rsidRPr="00AF6F66" w:rsidRDefault="00AF6F66" w:rsidP="00AF6F66">
      <w:pPr>
        <w:pStyle w:val="a5"/>
        <w:widowControl/>
        <w:shd w:val="clear" w:color="auto" w:fill="FFFFFF"/>
        <w:spacing w:beforeAutospacing="0" w:afterAutospacing="0" w:line="520" w:lineRule="exact"/>
        <w:ind w:firstLineChars="200" w:firstLine="602"/>
        <w:rPr>
          <w:rFonts w:ascii="仿宋_GB2312" w:eastAsia="仿宋_GB2312"/>
          <w:b/>
          <w:sz w:val="30"/>
          <w:szCs w:val="30"/>
          <w:shd w:val="clear" w:color="auto" w:fill="FFFFFF"/>
        </w:rPr>
      </w:pPr>
      <w:r w:rsidRPr="00AF6F66">
        <w:rPr>
          <w:rFonts w:ascii="仿宋_GB2312" w:eastAsia="仿宋_GB2312" w:hint="eastAsia"/>
          <w:b/>
          <w:sz w:val="30"/>
          <w:szCs w:val="30"/>
          <w:shd w:val="clear" w:color="auto" w:fill="FFFFFF"/>
        </w:rPr>
        <w:t>（四）、评分标准</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sz w:val="30"/>
          <w:szCs w:val="30"/>
          <w:shd w:val="clear" w:color="auto" w:fill="FFFFFF"/>
        </w:rPr>
      </w:pPr>
      <w:r w:rsidRPr="00AF6F66">
        <w:rPr>
          <w:rFonts w:ascii="仿宋_GB2312" w:eastAsia="仿宋_GB2312" w:hint="eastAsia"/>
          <w:sz w:val="30"/>
          <w:szCs w:val="30"/>
          <w:shd w:val="clear" w:color="auto" w:fill="FFFFFF"/>
        </w:rPr>
        <w:t>评分标准：优秀：100-85分，良好：85-70分，一般：70-55分，差：55-0。</w:t>
      </w:r>
    </w:p>
    <w:p w:rsidR="00AF6F66" w:rsidRPr="00AF6F66" w:rsidRDefault="00AF6F66" w:rsidP="00AF6F66">
      <w:pPr>
        <w:pStyle w:val="a5"/>
        <w:widowControl/>
        <w:shd w:val="clear" w:color="auto" w:fill="FFFFFF"/>
        <w:spacing w:beforeAutospacing="0" w:afterAutospacing="0" w:line="520" w:lineRule="exact"/>
        <w:ind w:firstLineChars="200" w:firstLine="602"/>
        <w:rPr>
          <w:rFonts w:ascii="仿宋_GB2312" w:eastAsia="仿宋_GB2312"/>
          <w:b/>
          <w:sz w:val="30"/>
          <w:szCs w:val="30"/>
          <w:shd w:val="clear" w:color="auto" w:fill="FFFFFF"/>
        </w:rPr>
      </w:pPr>
      <w:r w:rsidRPr="00AF6F66">
        <w:rPr>
          <w:rFonts w:ascii="仿宋_GB2312" w:eastAsia="仿宋_GB2312" w:hint="eastAsia"/>
          <w:b/>
          <w:sz w:val="30"/>
          <w:szCs w:val="30"/>
          <w:shd w:val="clear" w:color="auto" w:fill="FFFFFF"/>
        </w:rPr>
        <w:t>九、大赛奖励</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sz w:val="30"/>
          <w:szCs w:val="30"/>
          <w:shd w:val="clear" w:color="auto" w:fill="FFFFFF"/>
        </w:rPr>
      </w:pPr>
      <w:r w:rsidRPr="00AF6F66">
        <w:rPr>
          <w:rFonts w:ascii="仿宋_GB2312" w:eastAsia="仿宋_GB2312" w:hint="eastAsia"/>
          <w:sz w:val="30"/>
          <w:szCs w:val="30"/>
          <w:shd w:val="clear" w:color="auto" w:fill="FFFFFF"/>
        </w:rPr>
        <w:t>大赛设30个金奖、90个银奖、480个铜奖。设最佳创意奖、最具商业价值奖、最佳带动就业奖、最具人气奖各1个。获奖项目颁发获奖证书，提供投融资对接、落地孵化等服务。</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sz w:val="30"/>
          <w:szCs w:val="30"/>
          <w:shd w:val="clear" w:color="auto" w:fill="FFFFFF"/>
        </w:rPr>
      </w:pPr>
      <w:r w:rsidRPr="00AF6F66">
        <w:rPr>
          <w:rFonts w:ascii="仿宋_GB2312" w:eastAsia="仿宋_GB2312" w:hint="eastAsia"/>
          <w:sz w:val="30"/>
          <w:szCs w:val="30"/>
          <w:shd w:val="clear" w:color="auto" w:fill="FFFFFF"/>
        </w:rPr>
        <w:t>设高校集体奖20个、省市优秀组织奖10个和优秀创新创业导师若干名，颁发获奖证书及奖牌。</w:t>
      </w:r>
    </w:p>
    <w:p w:rsidR="00AF6F66" w:rsidRPr="00AF6F66" w:rsidRDefault="00AF6F66" w:rsidP="00AF6F66">
      <w:pPr>
        <w:pStyle w:val="a5"/>
        <w:widowControl/>
        <w:shd w:val="clear" w:color="auto" w:fill="FFFFFF"/>
        <w:spacing w:beforeAutospacing="0" w:afterAutospacing="0" w:line="520" w:lineRule="exact"/>
        <w:ind w:firstLineChars="200" w:firstLine="602"/>
        <w:rPr>
          <w:rFonts w:ascii="仿宋_GB2312" w:eastAsia="仿宋_GB2312"/>
          <w:b/>
          <w:sz w:val="30"/>
          <w:szCs w:val="30"/>
          <w:shd w:val="clear" w:color="auto" w:fill="FFFFFF"/>
        </w:rPr>
      </w:pPr>
      <w:r w:rsidRPr="00AF6F66">
        <w:rPr>
          <w:rFonts w:ascii="仿宋_GB2312" w:eastAsia="仿宋_GB2312" w:hint="eastAsia"/>
          <w:b/>
          <w:sz w:val="30"/>
          <w:szCs w:val="30"/>
          <w:shd w:val="clear" w:color="auto" w:fill="FFFFFF"/>
        </w:rPr>
        <w:t>十、宣传发动</w:t>
      </w:r>
    </w:p>
    <w:p w:rsidR="00AF6F66" w:rsidRPr="00AF6F66" w:rsidRDefault="00AF6F66" w:rsidP="00AF6F66">
      <w:pPr>
        <w:pStyle w:val="a5"/>
        <w:widowControl/>
        <w:shd w:val="clear" w:color="auto" w:fill="FFFFFF"/>
        <w:spacing w:beforeAutospacing="0" w:afterAutospacing="0" w:line="520" w:lineRule="exact"/>
        <w:ind w:firstLineChars="200" w:firstLine="600"/>
        <w:rPr>
          <w:rFonts w:ascii="仿宋_GB2312" w:eastAsia="仿宋_GB2312"/>
          <w:sz w:val="30"/>
          <w:szCs w:val="30"/>
          <w:shd w:val="clear" w:color="auto" w:fill="FFFFFF"/>
        </w:rPr>
      </w:pPr>
      <w:r w:rsidRPr="00AF6F66">
        <w:rPr>
          <w:rFonts w:ascii="仿宋_GB2312" w:eastAsia="仿宋_GB2312" w:hint="eastAsia"/>
          <w:sz w:val="30"/>
          <w:szCs w:val="30"/>
          <w:shd w:val="clear" w:color="auto" w:fill="FFFFFF"/>
        </w:rPr>
        <w:t>各地各高校要认真做好大赛的宣传动员和组织工作。各省（区、市）教育行政部门要组织做好省级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p>
    <w:sectPr w:rsidR="00AF6F66" w:rsidRPr="00AF6F66" w:rsidSect="00AF6F6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B82" w:rsidRDefault="00B57B82" w:rsidP="00AF6F66">
      <w:r>
        <w:separator/>
      </w:r>
    </w:p>
  </w:endnote>
  <w:endnote w:type="continuationSeparator" w:id="1">
    <w:p w:rsidR="00B57B82" w:rsidRDefault="00B57B82" w:rsidP="00AF6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B82" w:rsidRDefault="00B57B82" w:rsidP="00AF6F66">
      <w:r>
        <w:separator/>
      </w:r>
    </w:p>
  </w:footnote>
  <w:footnote w:type="continuationSeparator" w:id="1">
    <w:p w:rsidR="00B57B82" w:rsidRDefault="00B57B82" w:rsidP="00AF6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09C14"/>
    <w:multiLevelType w:val="singleLevel"/>
    <w:tmpl w:val="59009C14"/>
    <w:lvl w:ilvl="0">
      <w:start w:val="8"/>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84964"/>
    <w:rsid w:val="00172A27"/>
    <w:rsid w:val="00222E52"/>
    <w:rsid w:val="00516DB8"/>
    <w:rsid w:val="0056455C"/>
    <w:rsid w:val="009C3225"/>
    <w:rsid w:val="00A710B6"/>
    <w:rsid w:val="00AF6F66"/>
    <w:rsid w:val="00B57B82"/>
    <w:rsid w:val="00D0073C"/>
    <w:rsid w:val="00FD45A8"/>
    <w:rsid w:val="08172371"/>
    <w:rsid w:val="19846C46"/>
    <w:rsid w:val="241B6138"/>
    <w:rsid w:val="2EA11671"/>
    <w:rsid w:val="5DBD183A"/>
    <w:rsid w:val="69D50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A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D45A8"/>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unhideWhenUsed/>
    <w:qFormat/>
    <w:rsid w:val="00FD45A8"/>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45A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D45A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D45A8"/>
    <w:pPr>
      <w:spacing w:beforeAutospacing="1" w:afterAutospacing="1"/>
      <w:jc w:val="left"/>
    </w:pPr>
    <w:rPr>
      <w:rFonts w:cs="Times New Roman"/>
      <w:kern w:val="0"/>
      <w:sz w:val="24"/>
    </w:rPr>
  </w:style>
  <w:style w:type="character" w:styleId="a6">
    <w:name w:val="Strong"/>
    <w:basedOn w:val="a0"/>
    <w:uiPriority w:val="22"/>
    <w:qFormat/>
    <w:rsid w:val="00FD45A8"/>
    <w:rPr>
      <w:b/>
    </w:rPr>
  </w:style>
  <w:style w:type="table" w:styleId="a7">
    <w:name w:val="Table Grid"/>
    <w:basedOn w:val="a1"/>
    <w:uiPriority w:val="39"/>
    <w:qFormat/>
    <w:rsid w:val="00FD4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FD45A8"/>
    <w:rPr>
      <w:sz w:val="18"/>
      <w:szCs w:val="18"/>
    </w:rPr>
  </w:style>
  <w:style w:type="character" w:customStyle="1" w:styleId="Char">
    <w:name w:val="页脚 Char"/>
    <w:basedOn w:val="a0"/>
    <w:link w:val="a3"/>
    <w:uiPriority w:val="99"/>
    <w:qFormat/>
    <w:rsid w:val="00FD45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800</Words>
  <Characters>4565</Characters>
  <Application>Microsoft Office Word</Application>
  <DocSecurity>0</DocSecurity>
  <Lines>38</Lines>
  <Paragraphs>10</Paragraphs>
  <ScaleCrop>false</ScaleCrop>
  <Company>Lenovo</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60219</dc:creator>
  <cp:lastModifiedBy>刘宪杰</cp:lastModifiedBy>
  <cp:revision>5</cp:revision>
  <dcterms:created xsi:type="dcterms:W3CDTF">2017-03-31T06:04:00Z</dcterms:created>
  <dcterms:modified xsi:type="dcterms:W3CDTF">2017-06-06T01:05:00Z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