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sym w:font="Wingdings 2" w:char="F0A3"/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辽宁省国家级一流本科课程申报推荐汇总表（2019年）</w:t>
      </w: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推荐高校（公章）：</w:t>
      </w:r>
    </w:p>
    <w:tbl>
      <w:tblPr>
        <w:tblStyle w:val="5"/>
        <w:tblW w:w="15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6"/>
        <w:gridCol w:w="1933"/>
        <w:gridCol w:w="1036"/>
        <w:gridCol w:w="1996"/>
        <w:gridCol w:w="1676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67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课程名称</w:t>
            </w:r>
          </w:p>
        </w:tc>
        <w:tc>
          <w:tcPr>
            <w:tcW w:w="193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课程负责人</w:t>
            </w:r>
          </w:p>
        </w:tc>
        <w:tc>
          <w:tcPr>
            <w:tcW w:w="103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职称</w:t>
            </w:r>
          </w:p>
        </w:tc>
        <w:tc>
          <w:tcPr>
            <w:tcW w:w="199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专业类代码</w:t>
            </w:r>
          </w:p>
        </w:tc>
        <w:tc>
          <w:tcPr>
            <w:tcW w:w="1676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推荐类别</w:t>
            </w:r>
          </w:p>
        </w:tc>
        <w:tc>
          <w:tcPr>
            <w:tcW w:w="602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7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3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获得省级以上精品课程、精品视频公开课及精品资源共享课；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参与辽宁省大学生在线学习跨校修读学分工作的课程（参与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学期数）；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以MOOC（或Spoc）方式应用国家精品在线开放课程的优质课程；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获得省级以上“青年红色筑梦之旅”、“互联网+”大学生创新创业大赛奖励的课程。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请在对应</w:t>
            </w: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中打“</w:t>
            </w: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50"/>
            </w:r>
            <w:r>
              <w:rPr>
                <w:rFonts w:hint="eastAsia" w:ascii="仿宋_GB2312" w:eastAsia="仿宋_GB2312"/>
                <w:sz w:val="18"/>
                <w:szCs w:val="18"/>
              </w:rPr>
              <w:t>”，参与辽宁省大学生在线学习跨校修读学分工作须填写学期数。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7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3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6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23" w:type="dxa"/>
          </w:tcPr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获得省级以上精品课程、精品视频公开课及精品资源共享课；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参与辽宁省大学生在线学习跨校修读学分工作的课程（参与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学期数）；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以MOOC（或Spoc）方式应用国家精品在线开放课程的优质课程；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获得省级以上“青年红色筑梦之旅”、“互联网+”大学生创新创业大赛奖励的课程。</w:t>
            </w:r>
          </w:p>
          <w:p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请在对应</w:t>
            </w: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A3"/>
            </w:r>
            <w:r>
              <w:rPr>
                <w:rFonts w:hint="eastAsia" w:ascii="仿宋_GB2312" w:eastAsia="仿宋_GB2312"/>
                <w:sz w:val="18"/>
                <w:szCs w:val="18"/>
              </w:rPr>
              <w:t>中打“</w:t>
            </w:r>
            <w:r>
              <w:rPr>
                <w:rFonts w:hint="eastAsia" w:ascii="仿宋_GB2312" w:eastAsia="仿宋_GB2312"/>
                <w:sz w:val="18"/>
                <w:szCs w:val="18"/>
              </w:rPr>
              <w:sym w:font="Wingdings 2" w:char="F050"/>
            </w:r>
            <w:r>
              <w:rPr>
                <w:rFonts w:hint="eastAsia" w:ascii="仿宋_GB2312" w:eastAsia="仿宋_GB2312"/>
                <w:sz w:val="18"/>
                <w:szCs w:val="18"/>
              </w:rPr>
              <w:t>”，参与辽宁省大学生在线学习跨校修读学分工作须填写学期数。</w:t>
            </w: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1. 专业类代码指《普通高等学校本科专业目录（2012年》，没有对应学科专业的课程，填写“0000”。</w:t>
      </w:r>
    </w:p>
    <w:p>
      <w:pPr>
        <w:spacing w:line="380" w:lineRule="exact"/>
      </w:pPr>
      <w:r>
        <w:rPr>
          <w:rFonts w:ascii="Times New Roman" w:hAnsi="Times New Roman" w:eastAsia="仿宋_GB2312" w:cs="Times New Roman"/>
        </w:rPr>
        <w:t xml:space="preserve"> </w:t>
      </w:r>
      <w:r>
        <w:rPr>
          <w:rFonts w:hint="eastAsia" w:ascii="Times New Roman" w:hAnsi="Times New Roman" w:eastAsia="仿宋_GB2312" w:cs="Times New Roman"/>
        </w:rPr>
        <w:t xml:space="preserve">   </w:t>
      </w:r>
      <w:r>
        <w:rPr>
          <w:rFonts w:ascii="Times New Roman" w:hAnsi="Times New Roman" w:eastAsia="仿宋_GB2312" w:cs="Times New Roman"/>
        </w:rPr>
        <w:t>2.</w:t>
      </w:r>
      <w:r>
        <w:rPr>
          <w:rFonts w:hint="eastAsia" w:ascii="Times New Roman" w:hAnsi="Times New Roman" w:eastAsia="仿宋_GB2312" w:cs="Times New Roman"/>
        </w:rPr>
        <w:t xml:space="preserve"> </w:t>
      </w:r>
      <w:r>
        <w:rPr>
          <w:rFonts w:ascii="Times New Roman" w:hAnsi="Times New Roman" w:eastAsia="仿宋_GB2312" w:cs="Times New Roman"/>
        </w:rPr>
        <w:t>推荐类别为“线下一流课程”“线上线下混合式一流课程”“社会实践一流课程”中的一种。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0040F"/>
    <w:rsid w:val="00015360"/>
    <w:rsid w:val="0005173A"/>
    <w:rsid w:val="00054963"/>
    <w:rsid w:val="0006616F"/>
    <w:rsid w:val="000B680D"/>
    <w:rsid w:val="0014319B"/>
    <w:rsid w:val="00143AA3"/>
    <w:rsid w:val="0020332D"/>
    <w:rsid w:val="00256DBF"/>
    <w:rsid w:val="004F2E6E"/>
    <w:rsid w:val="00522830"/>
    <w:rsid w:val="006673D8"/>
    <w:rsid w:val="00675F56"/>
    <w:rsid w:val="006803C3"/>
    <w:rsid w:val="006C11E6"/>
    <w:rsid w:val="006C3BC2"/>
    <w:rsid w:val="006C56D8"/>
    <w:rsid w:val="00703D5D"/>
    <w:rsid w:val="008810A9"/>
    <w:rsid w:val="00977961"/>
    <w:rsid w:val="00A64E3D"/>
    <w:rsid w:val="00A73A46"/>
    <w:rsid w:val="00A92B76"/>
    <w:rsid w:val="00AA3121"/>
    <w:rsid w:val="00AF72C1"/>
    <w:rsid w:val="00CA54AA"/>
    <w:rsid w:val="00CC381D"/>
    <w:rsid w:val="00CE6B30"/>
    <w:rsid w:val="00D1172F"/>
    <w:rsid w:val="00D64B07"/>
    <w:rsid w:val="00F45B32"/>
    <w:rsid w:val="00F969F4"/>
    <w:rsid w:val="00FB71F6"/>
    <w:rsid w:val="041466A4"/>
    <w:rsid w:val="07AC4DC8"/>
    <w:rsid w:val="0AB00844"/>
    <w:rsid w:val="0B627CA5"/>
    <w:rsid w:val="0DBC2375"/>
    <w:rsid w:val="0EEE74A2"/>
    <w:rsid w:val="0F8509E3"/>
    <w:rsid w:val="138E2891"/>
    <w:rsid w:val="17AC20B3"/>
    <w:rsid w:val="18CB133A"/>
    <w:rsid w:val="1E2908E0"/>
    <w:rsid w:val="1F5F2C5B"/>
    <w:rsid w:val="21DA7A92"/>
    <w:rsid w:val="224254F6"/>
    <w:rsid w:val="23BE721C"/>
    <w:rsid w:val="25BC6D79"/>
    <w:rsid w:val="316B5C99"/>
    <w:rsid w:val="324A4E0C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6A2CD0"/>
    <w:rsid w:val="50F202A1"/>
    <w:rsid w:val="53E85D0C"/>
    <w:rsid w:val="54F14B88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028DB0-969B-4231-BA92-1DF8CB5C8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472</Characters>
  <Lines>3</Lines>
  <Paragraphs>1</Paragraphs>
  <TotalTime>15</TotalTime>
  <ScaleCrop>false</ScaleCrop>
  <LinksUpToDate>false</LinksUpToDate>
  <CharactersWithSpaces>553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2019-11-13T08:50:00Z</dcterms:created>
  <dc:creator>A</dc:creator>
  <cp:lastModifiedBy>一只松鼠</cp:lastModifiedBy>
  <cp:lastPrinted>2019-11-11T08:55:00Z</cp:lastPrinted>
  <dcterms:modified xsi:type="dcterms:W3CDTF">2019-11-26T06:50:24Z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