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13"/>
        <w:tabs>
          <w:tab w:val="left" w:pos="1353"/>
        </w:tabs>
        <w:rPr>
          <w:rFonts w:ascii="微软雅黑" w:hAnsi="微软雅黑" w:eastAsia="微软雅黑"/>
          <w:b/>
          <w:sz w:val="36"/>
          <w:szCs w:val="36"/>
        </w:rPr>
      </w:pPr>
      <w:r>
        <w:rPr>
          <w:rFonts w:ascii="微软雅黑" w:hAnsi="微软雅黑" w:eastAsia="微软雅黑"/>
          <w:b/>
          <w:sz w:val="36"/>
          <w:szCs w:val="36"/>
        </w:rPr>
        <w:tab/>
      </w:r>
    </w:p>
    <w:p>
      <w:pPr>
        <w:pStyle w:val="13"/>
        <w:jc w:val="center"/>
        <w:rPr>
          <w:rFonts w:ascii="微软雅黑" w:hAnsi="微软雅黑" w:eastAsia="微软雅黑"/>
          <w:b/>
          <w:sz w:val="36"/>
          <w:szCs w:val="36"/>
        </w:rPr>
      </w:pPr>
    </w:p>
    <w:p>
      <w:pPr>
        <w:pStyle w:val="13"/>
        <w:jc w:val="center"/>
        <w:rPr>
          <w:rFonts w:ascii="微软雅黑" w:hAnsi="微软雅黑" w:eastAsia="微软雅黑"/>
          <w:b/>
          <w:sz w:val="36"/>
          <w:szCs w:val="36"/>
        </w:rPr>
      </w:pPr>
    </w:p>
    <w:p>
      <w:pPr>
        <w:pStyle w:val="13"/>
        <w:jc w:val="center"/>
        <w:rPr>
          <w:rFonts w:ascii="微软雅黑" w:hAnsi="微软雅黑" w:eastAsia="微软雅黑"/>
          <w:b/>
          <w:sz w:val="36"/>
          <w:szCs w:val="36"/>
        </w:rPr>
      </w:pPr>
    </w:p>
    <w:p>
      <w:pPr>
        <w:pStyle w:val="13"/>
        <w:jc w:val="center"/>
        <w:rPr>
          <w:rFonts w:ascii="微软雅黑" w:hAnsi="微软雅黑" w:eastAsia="微软雅黑"/>
          <w:b/>
          <w:sz w:val="52"/>
          <w:szCs w:val="36"/>
        </w:rPr>
      </w:pPr>
      <w:r>
        <w:rPr>
          <w:rFonts w:hint="eastAsia" w:ascii="微软雅黑" w:hAnsi="微软雅黑" w:eastAsia="微软雅黑"/>
          <w:b/>
          <w:sz w:val="52"/>
          <w:szCs w:val="36"/>
        </w:rPr>
        <w:t>高等学校慕课建设与应用指南</w:t>
      </w:r>
    </w:p>
    <w:p>
      <w:pPr>
        <w:pStyle w:val="13"/>
        <w:jc w:val="center"/>
        <w:rPr>
          <w:rFonts w:ascii="微软雅黑" w:hAnsi="微软雅黑" w:eastAsia="微软雅黑"/>
          <w:b/>
          <w:sz w:val="28"/>
          <w:szCs w:val="36"/>
        </w:rPr>
      </w:pPr>
      <w:r>
        <w:rPr>
          <w:rFonts w:hint="eastAsia" w:ascii="微软雅黑" w:hAnsi="微软雅黑" w:eastAsia="微软雅黑"/>
          <w:b/>
          <w:sz w:val="28"/>
          <w:szCs w:val="36"/>
        </w:rPr>
        <w:t>（V</w:t>
      </w:r>
      <w:r>
        <w:rPr>
          <w:rFonts w:ascii="微软雅黑" w:hAnsi="微软雅黑" w:eastAsia="微软雅黑"/>
          <w:b/>
          <w:sz w:val="28"/>
          <w:szCs w:val="36"/>
        </w:rPr>
        <w:t xml:space="preserve">ersion </w:t>
      </w:r>
      <w:r>
        <w:rPr>
          <w:rFonts w:hint="eastAsia" w:ascii="微软雅黑" w:hAnsi="微软雅黑" w:eastAsia="微软雅黑"/>
          <w:b/>
          <w:sz w:val="28"/>
          <w:szCs w:val="36"/>
        </w:rPr>
        <w:t>1</w:t>
      </w:r>
      <w:r>
        <w:rPr>
          <w:rFonts w:ascii="微软雅黑" w:hAnsi="微软雅黑" w:eastAsia="微软雅黑"/>
          <w:b/>
          <w:sz w:val="28"/>
          <w:szCs w:val="36"/>
        </w:rPr>
        <w:t>.0</w:t>
      </w:r>
      <w:r>
        <w:rPr>
          <w:rFonts w:hint="eastAsia" w:ascii="微软雅黑" w:hAnsi="微软雅黑" w:eastAsia="微软雅黑"/>
          <w:b/>
          <w:sz w:val="28"/>
          <w:szCs w:val="36"/>
        </w:rPr>
        <w:t>）</w:t>
      </w:r>
    </w:p>
    <w:p/>
    <w:p/>
    <w:p/>
    <w:p>
      <w:pPr>
        <w:pStyle w:val="13"/>
        <w:jc w:val="center"/>
        <w:rPr>
          <w:rFonts w:ascii="微软雅黑" w:hAnsi="微软雅黑" w:eastAsia="微软雅黑"/>
          <w:b/>
          <w:sz w:val="28"/>
          <w:szCs w:val="36"/>
        </w:rPr>
      </w:pPr>
      <w:r>
        <w:rPr>
          <w:rFonts w:hint="eastAsia" w:ascii="微软雅黑" w:hAnsi="微软雅黑" w:eastAsia="微软雅黑"/>
          <w:b/>
          <w:sz w:val="28"/>
          <w:szCs w:val="36"/>
        </w:rPr>
        <w:t>教育部高等</w:t>
      </w:r>
      <w:r>
        <w:rPr>
          <w:rFonts w:ascii="微软雅黑" w:hAnsi="微软雅黑" w:eastAsia="微软雅黑"/>
          <w:b/>
          <w:sz w:val="28"/>
          <w:szCs w:val="36"/>
        </w:rPr>
        <w:t>学校教学信息化与教学方法创新</w:t>
      </w:r>
      <w:r>
        <w:rPr>
          <w:rFonts w:hint="eastAsia" w:ascii="微软雅黑" w:hAnsi="微软雅黑" w:eastAsia="微软雅黑"/>
          <w:b/>
          <w:sz w:val="28"/>
          <w:szCs w:val="36"/>
        </w:rPr>
        <w:t>指导委员会</w:t>
      </w: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p>
    <w:p>
      <w:pPr>
        <w:pStyle w:val="13"/>
        <w:jc w:val="center"/>
        <w:rPr>
          <w:rFonts w:ascii="微软雅黑" w:hAnsi="微软雅黑" w:eastAsia="微软雅黑"/>
          <w:b/>
          <w:sz w:val="28"/>
          <w:szCs w:val="36"/>
        </w:rPr>
      </w:pPr>
      <w:r>
        <w:rPr>
          <w:rFonts w:ascii="微软雅黑" w:hAnsi="微软雅黑" w:eastAsia="微软雅黑"/>
          <w:b/>
          <w:sz w:val="28"/>
          <w:szCs w:val="36"/>
        </w:rPr>
        <w:t>20</w:t>
      </w:r>
      <w:r>
        <w:rPr>
          <w:rFonts w:hint="eastAsia" w:ascii="微软雅黑" w:hAnsi="微软雅黑" w:eastAsia="微软雅黑"/>
          <w:b/>
          <w:sz w:val="28"/>
          <w:szCs w:val="36"/>
        </w:rPr>
        <w:t>20</w:t>
      </w:r>
      <w:r>
        <w:rPr>
          <w:rFonts w:ascii="微软雅黑" w:hAnsi="微软雅黑" w:eastAsia="微软雅黑"/>
          <w:b/>
          <w:sz w:val="28"/>
          <w:szCs w:val="36"/>
        </w:rPr>
        <w:t>年</w:t>
      </w:r>
      <w:r>
        <w:rPr>
          <w:rFonts w:hint="eastAsia" w:ascii="微软雅黑" w:hAnsi="微软雅黑" w:eastAsia="微软雅黑"/>
          <w:b/>
          <w:sz w:val="28"/>
          <w:szCs w:val="36"/>
        </w:rPr>
        <w:t>10</w:t>
      </w:r>
      <w:r>
        <w:rPr>
          <w:rFonts w:ascii="微软雅黑" w:hAnsi="微软雅黑" w:eastAsia="微软雅黑"/>
          <w:b/>
          <w:sz w:val="28"/>
          <w:szCs w:val="36"/>
        </w:rPr>
        <w:t>月</w:t>
      </w:r>
    </w:p>
    <w:p/>
    <w:p>
      <w:pPr>
        <w:widowControl/>
        <w:jc w:val="left"/>
      </w:pPr>
      <w:r>
        <w:br w:type="page"/>
      </w:r>
    </w:p>
    <w:p/>
    <w:p>
      <w:pPr>
        <w:rPr>
          <w:color w:val="FF0000"/>
        </w:rPr>
      </w:pPr>
    </w:p>
    <w:p>
      <w:pPr>
        <w:ind w:firstLine="562" w:firstLineChars="200"/>
        <w:rPr>
          <w:rFonts w:ascii="Times New Roman" w:hAnsi="Times New Roman" w:cs="Times New Roman"/>
          <w:sz w:val="28"/>
          <w:szCs w:val="28"/>
        </w:rPr>
      </w:pPr>
      <w:r>
        <w:rPr>
          <w:rFonts w:hint="eastAsia" w:ascii="黑体" w:hAnsi="黑体" w:eastAsia="黑体" w:cs="Times New Roman"/>
          <w:b/>
          <w:sz w:val="28"/>
          <w:szCs w:val="28"/>
        </w:rPr>
        <w:t>背景和意义</w:t>
      </w:r>
      <w:r>
        <w:rPr>
          <w:rFonts w:hint="eastAsia" w:ascii="Times New Roman" w:hAnsi="Times New Roman" w:cs="Times New Roman"/>
          <w:sz w:val="28"/>
          <w:szCs w:val="28"/>
        </w:rPr>
        <w:t>。</w:t>
      </w:r>
      <w:r>
        <w:rPr>
          <w:rFonts w:ascii="Times New Roman" w:hAnsi="Times New Roman" w:cs="Times New Roman"/>
          <w:sz w:val="28"/>
          <w:szCs w:val="28"/>
        </w:rPr>
        <w:t>根据</w:t>
      </w:r>
      <w:r>
        <w:rPr>
          <w:rFonts w:hint="eastAsia" w:ascii="Times New Roman" w:hAnsi="Times New Roman" w:cs="Times New Roman"/>
          <w:sz w:val="28"/>
          <w:szCs w:val="28"/>
        </w:rPr>
        <w:t xml:space="preserve">《教育部关于加快建设高水平本科教育 </w:t>
      </w:r>
      <w:r>
        <w:rPr>
          <w:rFonts w:ascii="Times New Roman" w:hAnsi="Times New Roman" w:cs="Times New Roman"/>
          <w:sz w:val="28"/>
          <w:szCs w:val="28"/>
        </w:rPr>
        <w:t>全面提高人才培养能力的意见</w:t>
      </w:r>
      <w:r>
        <w:rPr>
          <w:rFonts w:hint="eastAsia" w:ascii="Times New Roman" w:hAnsi="Times New Roman" w:cs="Times New Roman"/>
          <w:sz w:val="28"/>
          <w:szCs w:val="28"/>
        </w:rPr>
        <w:t>》（教高〔</w:t>
      </w:r>
      <w:r>
        <w:rPr>
          <w:rFonts w:ascii="Times New Roman" w:hAnsi="Times New Roman" w:cs="Times New Roman"/>
          <w:sz w:val="28"/>
          <w:szCs w:val="28"/>
        </w:rPr>
        <w:t>2018〕2号</w:t>
      </w:r>
      <w:r>
        <w:rPr>
          <w:rFonts w:hint="eastAsia" w:ascii="Times New Roman" w:hAnsi="Times New Roman" w:cs="Times New Roman"/>
          <w:sz w:val="28"/>
          <w:szCs w:val="28"/>
        </w:rPr>
        <w:t>）、</w:t>
      </w:r>
      <w:r>
        <w:rPr>
          <w:rFonts w:ascii="Times New Roman" w:hAnsi="Times New Roman" w:cs="Times New Roman"/>
          <w:sz w:val="28"/>
          <w:szCs w:val="28"/>
        </w:rPr>
        <w:t>《教育部关于加强高等学校在线开放课程建设应用与管理的意见》（教高[2015]3号）</w:t>
      </w:r>
      <w:r>
        <w:rPr>
          <w:rFonts w:hint="eastAsia" w:ascii="Times New Roman" w:hAnsi="Times New Roman" w:cs="Times New Roman"/>
          <w:sz w:val="28"/>
          <w:szCs w:val="28"/>
        </w:rPr>
        <w:t>和</w:t>
      </w:r>
      <w:r>
        <w:rPr>
          <w:rFonts w:ascii="Times New Roman" w:hAnsi="Times New Roman" w:cs="Times New Roman"/>
          <w:sz w:val="28"/>
          <w:szCs w:val="28"/>
        </w:rPr>
        <w:t>《教育部关于</w:t>
      </w:r>
      <w:r>
        <w:rPr>
          <w:rFonts w:hint="eastAsia" w:ascii="Times New Roman" w:hAnsi="Times New Roman" w:cs="Times New Roman"/>
          <w:sz w:val="28"/>
          <w:szCs w:val="28"/>
        </w:rPr>
        <w:t>一流本科课程建设的实施意见</w:t>
      </w:r>
      <w:r>
        <w:rPr>
          <w:rFonts w:ascii="Times New Roman" w:hAnsi="Times New Roman" w:cs="Times New Roman"/>
          <w:sz w:val="28"/>
          <w:szCs w:val="28"/>
        </w:rPr>
        <w:t>》（教高[201</w:t>
      </w:r>
      <w:r>
        <w:rPr>
          <w:rFonts w:hint="eastAsia" w:ascii="Times New Roman" w:hAnsi="Times New Roman" w:cs="Times New Roman"/>
          <w:sz w:val="28"/>
          <w:szCs w:val="28"/>
        </w:rPr>
        <w:t>9</w:t>
      </w:r>
      <w:r>
        <w:rPr>
          <w:rFonts w:ascii="Times New Roman" w:hAnsi="Times New Roman" w:cs="Times New Roman"/>
          <w:sz w:val="28"/>
          <w:szCs w:val="28"/>
        </w:rPr>
        <w:t>]8号）</w:t>
      </w:r>
      <w:r>
        <w:rPr>
          <w:rFonts w:hint="eastAsia" w:ascii="Times New Roman" w:hAnsi="Times New Roman" w:cs="Times New Roman"/>
          <w:sz w:val="28"/>
          <w:szCs w:val="28"/>
        </w:rPr>
        <w:t>精神</w:t>
      </w:r>
      <w:r>
        <w:rPr>
          <w:rFonts w:ascii="Times New Roman" w:hAnsi="Times New Roman" w:cs="Times New Roman"/>
          <w:sz w:val="28"/>
          <w:szCs w:val="28"/>
        </w:rPr>
        <w:t>，</w:t>
      </w:r>
      <w:r>
        <w:rPr>
          <w:rFonts w:hint="eastAsia" w:ascii="Times New Roman" w:hAnsi="Times New Roman" w:cs="Times New Roman"/>
          <w:sz w:val="28"/>
          <w:szCs w:val="28"/>
        </w:rPr>
        <w:t>建设大规模在线开放课程（以下简称为“慕课”）是落实立德树人根本任务、提高人才培养质量的重要抓手，更是加快实现高等教育现代化、建设高等教育强国的关键一招。 为大力推进全国高校慕课的建、用、学、管，提高中国高等教育的质量，推进教育公平，</w:t>
      </w:r>
      <w:r>
        <w:rPr>
          <w:rFonts w:ascii="Times New Roman" w:hAnsi="Times New Roman" w:cs="Times New Roman"/>
          <w:sz w:val="28"/>
          <w:szCs w:val="28"/>
        </w:rPr>
        <w:t>教育部高等学校教学信息化与教学方法创新指导委员会（以下简称</w:t>
      </w:r>
      <w:r>
        <w:rPr>
          <w:rFonts w:hint="eastAsia" w:ascii="Times New Roman" w:hAnsi="Times New Roman" w:cs="Times New Roman"/>
          <w:sz w:val="28"/>
          <w:szCs w:val="28"/>
        </w:rPr>
        <w:t>为“</w:t>
      </w:r>
      <w:r>
        <w:rPr>
          <w:rFonts w:ascii="Times New Roman" w:hAnsi="Times New Roman" w:cs="Times New Roman"/>
          <w:sz w:val="28"/>
          <w:szCs w:val="28"/>
        </w:rPr>
        <w:t>教指委</w:t>
      </w:r>
      <w:r>
        <w:rPr>
          <w:rFonts w:hint="eastAsia" w:ascii="Times New Roman" w:hAnsi="Times New Roman" w:cs="Times New Roman"/>
          <w:sz w:val="28"/>
          <w:szCs w:val="28"/>
        </w:rPr>
        <w:t>”</w:t>
      </w:r>
      <w:r>
        <w:rPr>
          <w:rFonts w:ascii="Times New Roman" w:hAnsi="Times New Roman" w:cs="Times New Roman"/>
          <w:sz w:val="28"/>
          <w:szCs w:val="28"/>
        </w:rPr>
        <w:t>）制</w:t>
      </w:r>
      <w:r>
        <w:rPr>
          <w:rFonts w:hint="eastAsia" w:ascii="Times New Roman" w:hAnsi="Times New Roman" w:cs="Times New Roman"/>
          <w:sz w:val="28"/>
          <w:szCs w:val="28"/>
        </w:rPr>
        <w:t>订了《高等学校慕课建设与应用指南》</w:t>
      </w:r>
      <w:r>
        <w:rPr>
          <w:rFonts w:ascii="Times New Roman" w:hAnsi="Times New Roman" w:cs="Times New Roman"/>
          <w:sz w:val="28"/>
          <w:szCs w:val="28"/>
        </w:rPr>
        <w:t>（以下简称为</w:t>
      </w:r>
      <w:r>
        <w:rPr>
          <w:rFonts w:hint="eastAsia" w:ascii="Times New Roman" w:hAnsi="Times New Roman" w:cs="Times New Roman"/>
          <w:sz w:val="28"/>
          <w:szCs w:val="28"/>
        </w:rPr>
        <w:t>“指南”）。</w:t>
      </w:r>
    </w:p>
    <w:p>
      <w:pPr>
        <w:ind w:firstLine="562" w:firstLineChars="200"/>
        <w:rPr>
          <w:rFonts w:ascii="Times New Roman" w:hAnsi="Times New Roman" w:cs="Times New Roman"/>
          <w:sz w:val="28"/>
          <w:szCs w:val="28"/>
        </w:rPr>
      </w:pPr>
      <w:r>
        <w:rPr>
          <w:rFonts w:hint="eastAsia" w:ascii="黑体" w:hAnsi="黑体" w:eastAsia="黑体" w:cs="Times New Roman"/>
          <w:b/>
          <w:sz w:val="28"/>
          <w:szCs w:val="28"/>
        </w:rPr>
        <w:t>宗旨和目的</w:t>
      </w:r>
      <w:r>
        <w:rPr>
          <w:rFonts w:hint="eastAsia" w:ascii="Times New Roman" w:hAnsi="Times New Roman" w:cs="Times New Roman"/>
          <w:sz w:val="28"/>
          <w:szCs w:val="28"/>
        </w:rPr>
        <w:t>。制定指南的主要目的是明晰慕课的概念、为慕课及精品慕课立标立规，确立慕课开放及运用慕课开展线上线下混合式教学的规范，调动</w:t>
      </w:r>
      <w:r>
        <w:rPr>
          <w:rFonts w:ascii="Times New Roman" w:hAnsi="Times New Roman" w:cs="Times New Roman"/>
          <w:sz w:val="28"/>
          <w:szCs w:val="28"/>
        </w:rPr>
        <w:t>高校</w:t>
      </w:r>
      <w:r>
        <w:rPr>
          <w:rFonts w:hint="eastAsia" w:ascii="Times New Roman" w:hAnsi="Times New Roman" w:cs="Times New Roman"/>
          <w:sz w:val="28"/>
          <w:szCs w:val="28"/>
        </w:rPr>
        <w:t>、教师、慕课平台等各方的积极性，</w:t>
      </w:r>
      <w:r>
        <w:rPr>
          <w:rFonts w:ascii="Times New Roman" w:hAnsi="Times New Roman" w:cs="Times New Roman"/>
          <w:sz w:val="28"/>
          <w:szCs w:val="28"/>
        </w:rPr>
        <w:t>为</w:t>
      </w:r>
      <w:r>
        <w:rPr>
          <w:rFonts w:hint="eastAsia" w:ascii="Times New Roman" w:hAnsi="Times New Roman" w:cs="Times New Roman"/>
          <w:sz w:val="28"/>
          <w:szCs w:val="28"/>
        </w:rPr>
        <w:t>我国</w:t>
      </w:r>
      <w:r>
        <w:rPr>
          <w:rFonts w:ascii="Times New Roman" w:hAnsi="Times New Roman" w:cs="Times New Roman"/>
          <w:sz w:val="28"/>
          <w:szCs w:val="28"/>
        </w:rPr>
        <w:t>高校提供更多更好的优质课程资源</w:t>
      </w:r>
      <w:r>
        <w:rPr>
          <w:rFonts w:hint="eastAsia" w:ascii="Times New Roman" w:hAnsi="Times New Roman" w:cs="Times New Roman"/>
          <w:sz w:val="28"/>
          <w:szCs w:val="28"/>
        </w:rPr>
        <w:t>；指导高校大力推进应用慕课的教学改革，引导广大教师会用慕课、善用慕课，用慕课创新教学方法，提升教学水平，增强教学效果；</w:t>
      </w:r>
      <w:r>
        <w:rPr>
          <w:rFonts w:ascii="Times New Roman" w:hAnsi="Times New Roman" w:cs="Times New Roman"/>
          <w:sz w:val="28"/>
          <w:szCs w:val="28"/>
        </w:rPr>
        <w:t>为国家及省级教育行政</w:t>
      </w:r>
      <w:r>
        <w:rPr>
          <w:rFonts w:hint="eastAsia" w:ascii="Times New Roman" w:hAnsi="Times New Roman" w:cs="Times New Roman"/>
          <w:sz w:val="28"/>
          <w:szCs w:val="28"/>
        </w:rPr>
        <w:t>部门依法依规加强慕课和平台管理，</w:t>
      </w:r>
      <w:r>
        <w:rPr>
          <w:rFonts w:ascii="Times New Roman" w:hAnsi="Times New Roman" w:cs="Times New Roman"/>
          <w:sz w:val="28"/>
          <w:szCs w:val="28"/>
        </w:rPr>
        <w:t>开展</w:t>
      </w:r>
      <w:r>
        <w:rPr>
          <w:rFonts w:hint="eastAsia" w:ascii="Times New Roman" w:hAnsi="Times New Roman" w:cs="Times New Roman"/>
          <w:sz w:val="28"/>
          <w:szCs w:val="28"/>
        </w:rPr>
        <w:t>慕课</w:t>
      </w:r>
      <w:r>
        <w:rPr>
          <w:rFonts w:ascii="Times New Roman" w:hAnsi="Times New Roman" w:cs="Times New Roman"/>
          <w:sz w:val="28"/>
          <w:szCs w:val="28"/>
        </w:rPr>
        <w:t>分级评价与认证工作提供</w:t>
      </w:r>
      <w:r>
        <w:rPr>
          <w:rFonts w:hint="eastAsia" w:ascii="Times New Roman" w:hAnsi="Times New Roman" w:cs="Times New Roman"/>
          <w:sz w:val="28"/>
          <w:szCs w:val="28"/>
        </w:rPr>
        <w:t>参考</w:t>
      </w:r>
      <w:r>
        <w:rPr>
          <w:rFonts w:ascii="Times New Roman" w:hAnsi="Times New Roman" w:cs="Times New Roman"/>
          <w:sz w:val="28"/>
          <w:szCs w:val="28"/>
        </w:rPr>
        <w:t>。</w:t>
      </w:r>
    </w:p>
    <w:p>
      <w:pPr>
        <w:ind w:firstLine="562" w:firstLineChars="200"/>
        <w:rPr>
          <w:rFonts w:ascii="Times New Roman" w:hAnsi="Times New Roman" w:cs="Times New Roman"/>
          <w:sz w:val="28"/>
          <w:szCs w:val="28"/>
        </w:rPr>
      </w:pPr>
      <w:r>
        <w:rPr>
          <w:rFonts w:hint="eastAsia" w:ascii="黑体" w:hAnsi="黑体" w:eastAsia="黑体" w:cs="Times New Roman"/>
          <w:b/>
          <w:sz w:val="28"/>
          <w:szCs w:val="28"/>
        </w:rPr>
        <w:t>对象和范围</w:t>
      </w:r>
      <w:r>
        <w:rPr>
          <w:rFonts w:hint="eastAsia" w:ascii="Times New Roman" w:hAnsi="Times New Roman" w:cs="Times New Roman"/>
          <w:sz w:val="28"/>
          <w:szCs w:val="28"/>
        </w:rPr>
        <w:t>。本指南适用于</w:t>
      </w:r>
      <w:r>
        <w:rPr>
          <w:rFonts w:ascii="Times New Roman" w:hAnsi="Times New Roman" w:cs="Times New Roman"/>
          <w:sz w:val="28"/>
          <w:szCs w:val="28"/>
        </w:rPr>
        <w:t>本科层次的</w:t>
      </w:r>
      <w:r>
        <w:rPr>
          <w:rFonts w:hint="eastAsia" w:ascii="Times New Roman" w:hAnsi="Times New Roman" w:cs="Times New Roman"/>
          <w:sz w:val="28"/>
          <w:szCs w:val="28"/>
        </w:rPr>
        <w:t>慕课建设、开放及应用。其使用对象为高等学校教师及教学管理者、为高校提供课程服务的慕课平台及相关人员和各级教育行政部门。高职高专层次的慕课及其应用可参照执行。</w:t>
      </w:r>
    </w:p>
    <w:p>
      <w:pPr>
        <w:rPr>
          <w:rFonts w:ascii="Times New Roman" w:hAnsi="Times New Roman" w:cs="Times New Roman"/>
          <w:sz w:val="28"/>
          <w:szCs w:val="28"/>
        </w:rPr>
      </w:pPr>
      <w:r>
        <w:rPr>
          <w:rFonts w:hint="eastAsia"/>
          <w:color w:val="FF0000"/>
        </w:rPr>
        <w:t xml:space="preserve"> </w:t>
      </w:r>
      <w:r>
        <w:rPr>
          <w:color w:val="FF0000"/>
        </w:rPr>
        <w:tab/>
      </w:r>
      <w:r>
        <w:rPr>
          <w:color w:val="FF0000"/>
        </w:rPr>
        <w:t xml:space="preserve"> </w:t>
      </w:r>
      <w:r>
        <w:rPr>
          <w:rFonts w:hint="eastAsia" w:ascii="黑体" w:hAnsi="黑体" w:eastAsia="黑体" w:cs="Times New Roman"/>
          <w:b/>
          <w:sz w:val="28"/>
          <w:szCs w:val="28"/>
        </w:rPr>
        <w:t>内容。</w:t>
      </w:r>
      <w:r>
        <w:rPr>
          <w:rFonts w:ascii="Times New Roman" w:hAnsi="Times New Roman" w:cs="Times New Roman"/>
          <w:sz w:val="28"/>
          <w:szCs w:val="28"/>
        </w:rPr>
        <w:t>本</w:t>
      </w:r>
      <w:r>
        <w:rPr>
          <w:rFonts w:hint="eastAsia" w:ascii="Times New Roman" w:hAnsi="Times New Roman" w:cs="Times New Roman"/>
          <w:sz w:val="28"/>
          <w:szCs w:val="28"/>
        </w:rPr>
        <w:t>指南包括：一、术语；二、慕课基本标准；三、基于慕课的线上线下混合式课程基本标准；四、慕课平台及服务规范要求；五、精品慕课评价参考准则；六、基于慕课的线上线下混合式精品课程评价参考准则</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p>
    <w:p>
      <w:pPr>
        <w:spacing w:line="560" w:lineRule="exact"/>
        <w:jc w:val="center"/>
        <w:rPr>
          <w:rFonts w:ascii="黑体" w:hAnsi="黑体" w:eastAsia="黑体"/>
          <w:b/>
          <w:sz w:val="32"/>
          <w:szCs w:val="32"/>
        </w:rPr>
      </w:pPr>
      <w:r>
        <w:rPr>
          <w:rFonts w:hint="eastAsia" w:ascii="黑体" w:hAnsi="黑体" w:eastAsia="黑体"/>
          <w:b/>
          <w:sz w:val="32"/>
          <w:szCs w:val="32"/>
        </w:rPr>
        <w:t>一、术</w:t>
      </w:r>
      <w:r>
        <w:rPr>
          <w:rFonts w:ascii="黑体" w:hAnsi="黑体" w:eastAsia="黑体"/>
          <w:b/>
          <w:sz w:val="32"/>
          <w:szCs w:val="32"/>
        </w:rPr>
        <w:t xml:space="preserve"> </w:t>
      </w:r>
      <w:r>
        <w:rPr>
          <w:rFonts w:hint="eastAsia" w:ascii="黑体" w:hAnsi="黑体" w:eastAsia="黑体"/>
          <w:b/>
          <w:sz w:val="32"/>
          <w:szCs w:val="32"/>
        </w:rPr>
        <w:t>语</w:t>
      </w:r>
    </w:p>
    <w:p>
      <w:pPr>
        <w:spacing w:line="560" w:lineRule="exact"/>
        <w:jc w:val="center"/>
        <w:rPr>
          <w:rFonts w:ascii="黑体" w:hAnsi="黑体" w:eastAsia="黑体"/>
          <w:b/>
          <w:sz w:val="32"/>
          <w:szCs w:val="32"/>
        </w:rPr>
      </w:pPr>
    </w:p>
    <w:p>
      <w:pPr>
        <w:ind w:firstLine="562" w:firstLineChars="200"/>
        <w:rPr>
          <w:rFonts w:ascii="Times New Roman" w:hAnsi="Times New Roman" w:cs="Times New Roman"/>
          <w:sz w:val="28"/>
          <w:szCs w:val="28"/>
        </w:rPr>
      </w:pPr>
      <w:r>
        <w:rPr>
          <w:rFonts w:hint="eastAsia" w:ascii="黑体" w:hAnsi="黑体" w:eastAsia="黑体" w:cs="Times New Roman"/>
          <w:b/>
          <w:sz w:val="28"/>
          <w:szCs w:val="28"/>
        </w:rPr>
        <w:t>慕课</w:t>
      </w:r>
      <w:r>
        <w:rPr>
          <w:rFonts w:hint="eastAsia" w:ascii="Times New Roman" w:hAnsi="Times New Roman" w:cs="Times New Roman"/>
          <w:sz w:val="28"/>
          <w:szCs w:val="28"/>
        </w:rPr>
        <w:t>，即大规模在线开放课程，英文为</w:t>
      </w:r>
      <w:r>
        <w:rPr>
          <w:rFonts w:ascii="Times New Roman" w:hAnsi="Times New Roman" w:cs="Times New Roman"/>
          <w:sz w:val="28"/>
          <w:szCs w:val="28"/>
        </w:rPr>
        <w:t>Massive Open Online Course</w:t>
      </w:r>
      <w:r>
        <w:rPr>
          <w:rFonts w:hint="eastAsia" w:ascii="Times New Roman" w:hAnsi="Times New Roman" w:cs="Times New Roman"/>
          <w:sz w:val="28"/>
          <w:szCs w:val="28"/>
        </w:rPr>
        <w:t>s（MO</w:t>
      </w:r>
      <w:r>
        <w:rPr>
          <w:rFonts w:ascii="Times New Roman" w:hAnsi="Times New Roman" w:cs="Times New Roman"/>
          <w:sz w:val="28"/>
          <w:szCs w:val="28"/>
        </w:rPr>
        <w:t>OC</w:t>
      </w:r>
      <w:r>
        <w:rPr>
          <w:rFonts w:hint="eastAsia" w:ascii="Times New Roman" w:hAnsi="Times New Roman" w:cs="Times New Roman"/>
          <w:sz w:val="28"/>
          <w:szCs w:val="28"/>
        </w:rPr>
        <w:t>s），是基于在线学习平台，利用信息技术与数字化资源，进行广泛教与学活动的一种开放共享课程。</w:t>
      </w:r>
    </w:p>
    <w:p>
      <w:pPr>
        <w:tabs>
          <w:tab w:val="left" w:pos="6504"/>
        </w:tabs>
        <w:ind w:firstLine="560" w:firstLineChars="200"/>
        <w:rPr>
          <w:rFonts w:ascii="Times New Roman" w:hAnsi="Times New Roman" w:cs="Times New Roman"/>
          <w:sz w:val="28"/>
          <w:szCs w:val="28"/>
        </w:rPr>
      </w:pPr>
      <w:r>
        <w:rPr>
          <w:rFonts w:hint="eastAsia" w:ascii="Times New Roman" w:hAnsi="Times New Roman" w:cs="Times New Roman"/>
          <w:sz w:val="28"/>
          <w:szCs w:val="28"/>
        </w:rPr>
        <w:t>与此相关的术语还有：</w:t>
      </w:r>
      <w:r>
        <w:rPr>
          <w:rFonts w:ascii="Times New Roman" w:hAnsi="Times New Roman" w:cs="Times New Roman"/>
          <w:sz w:val="28"/>
          <w:szCs w:val="28"/>
        </w:rPr>
        <w:tab/>
      </w:r>
    </w:p>
    <w:p>
      <w:pPr>
        <w:ind w:firstLine="562" w:firstLineChars="200"/>
        <w:rPr>
          <w:rFonts w:ascii="Times New Roman" w:hAnsi="Times New Roman" w:cs="Times New Roman"/>
          <w:sz w:val="28"/>
          <w:szCs w:val="28"/>
        </w:rPr>
      </w:pPr>
      <w:r>
        <w:rPr>
          <w:rFonts w:ascii="黑体" w:hAnsi="黑体" w:eastAsia="黑体" w:cs="Times New Roman"/>
          <w:b/>
          <w:sz w:val="28"/>
          <w:szCs w:val="28"/>
        </w:rPr>
        <w:t>小规模</w:t>
      </w:r>
      <w:r>
        <w:rPr>
          <w:rFonts w:hint="eastAsia" w:ascii="黑体" w:hAnsi="黑体" w:eastAsia="黑体" w:cs="Times New Roman"/>
          <w:b/>
          <w:sz w:val="28"/>
          <w:szCs w:val="28"/>
        </w:rPr>
        <w:t>专属</w:t>
      </w:r>
      <w:r>
        <w:rPr>
          <w:rFonts w:ascii="黑体" w:hAnsi="黑体" w:eastAsia="黑体" w:cs="Times New Roman"/>
          <w:b/>
          <w:sz w:val="28"/>
          <w:szCs w:val="28"/>
        </w:rPr>
        <w:t>在线课程</w:t>
      </w:r>
      <w:r>
        <w:rPr>
          <w:rFonts w:hint="eastAsia" w:ascii="Times New Roman" w:hAnsi="Times New Roman" w:cs="Times New Roman"/>
          <w:sz w:val="28"/>
          <w:szCs w:val="28"/>
        </w:rPr>
        <w:t>，英文为Small</w:t>
      </w:r>
      <w:r>
        <w:rPr>
          <w:rFonts w:ascii="Times New Roman" w:hAnsi="Times New Roman" w:cs="Times New Roman"/>
          <w:sz w:val="28"/>
          <w:szCs w:val="28"/>
        </w:rPr>
        <w:t xml:space="preserve"> Private Online Course</w:t>
      </w:r>
      <w:r>
        <w:rPr>
          <w:rFonts w:hint="eastAsia" w:ascii="Times New Roman" w:hAnsi="Times New Roman" w:cs="Times New Roman"/>
          <w:sz w:val="28"/>
          <w:szCs w:val="28"/>
        </w:rPr>
        <w:t>s（</w:t>
      </w:r>
      <w:r>
        <w:rPr>
          <w:rFonts w:ascii="Times New Roman" w:hAnsi="Times New Roman" w:cs="Times New Roman"/>
          <w:sz w:val="28"/>
          <w:szCs w:val="28"/>
        </w:rPr>
        <w:t>SPOCs</w:t>
      </w:r>
      <w:r>
        <w:rPr>
          <w:rFonts w:hint="eastAsia" w:ascii="Times New Roman" w:hAnsi="Times New Roman" w:cs="Times New Roman"/>
          <w:sz w:val="28"/>
          <w:szCs w:val="28"/>
        </w:rPr>
        <w:t>），是</w:t>
      </w:r>
      <w:r>
        <w:rPr>
          <w:rFonts w:ascii="Times New Roman" w:hAnsi="Times New Roman" w:cs="Times New Roman"/>
          <w:sz w:val="28"/>
          <w:szCs w:val="28"/>
        </w:rPr>
        <w:t>面向</w:t>
      </w:r>
      <w:r>
        <w:rPr>
          <w:rFonts w:hint="eastAsia" w:ascii="Times New Roman" w:hAnsi="Times New Roman" w:cs="Times New Roman"/>
          <w:sz w:val="28"/>
          <w:szCs w:val="28"/>
        </w:rPr>
        <w:t>特定用户群体有限</w:t>
      </w:r>
      <w:r>
        <w:rPr>
          <w:rFonts w:ascii="Times New Roman" w:hAnsi="Times New Roman" w:cs="Times New Roman"/>
          <w:sz w:val="28"/>
          <w:szCs w:val="28"/>
        </w:rPr>
        <w:t>开放的在线课程</w:t>
      </w:r>
      <w:r>
        <w:rPr>
          <w:rFonts w:hint="eastAsia" w:ascii="Times New Roman" w:hAnsi="Times New Roman" w:cs="Times New Roman"/>
          <w:sz w:val="28"/>
          <w:szCs w:val="28"/>
        </w:rPr>
        <w:t>。</w:t>
      </w:r>
    </w:p>
    <w:p>
      <w:pPr>
        <w:spacing w:line="560" w:lineRule="exact"/>
        <w:ind w:firstLine="562" w:firstLineChars="200"/>
        <w:rPr>
          <w:rFonts w:cs="楷体"/>
          <w:sz w:val="28"/>
          <w:szCs w:val="28"/>
        </w:rPr>
      </w:pPr>
      <w:r>
        <w:rPr>
          <w:rFonts w:hint="eastAsia" w:ascii="黑体" w:hAnsi="黑体" w:eastAsia="黑体" w:cs="Times New Roman"/>
          <w:b/>
          <w:sz w:val="28"/>
          <w:szCs w:val="28"/>
        </w:rPr>
        <w:t>线上线下混合式课程</w:t>
      </w:r>
      <w:r>
        <w:rPr>
          <w:rFonts w:hint="eastAsia" w:cs="楷体"/>
          <w:sz w:val="28"/>
          <w:szCs w:val="28"/>
        </w:rPr>
        <w:t>，是指将慕课等线上学习资源、智慧教学软硬件等线上交互工具和线下实体课堂相结合，开展教与学活动的课程。</w:t>
      </w:r>
    </w:p>
    <w:p>
      <w:pPr>
        <w:spacing w:line="560" w:lineRule="exact"/>
        <w:ind w:firstLine="562" w:firstLineChars="200"/>
        <w:rPr>
          <w:rFonts w:cs="楷体"/>
          <w:sz w:val="28"/>
          <w:szCs w:val="28"/>
        </w:rPr>
      </w:pPr>
      <w:r>
        <w:rPr>
          <w:rFonts w:hint="eastAsia" w:ascii="黑体" w:hAnsi="黑体" w:eastAsia="黑体" w:cs="Times New Roman"/>
          <w:b/>
          <w:sz w:val="28"/>
          <w:szCs w:val="28"/>
        </w:rPr>
        <w:t>翻转课堂</w:t>
      </w:r>
      <w:r>
        <w:rPr>
          <w:rFonts w:hint="eastAsia" w:cs="楷体"/>
          <w:sz w:val="28"/>
          <w:szCs w:val="28"/>
        </w:rPr>
        <w:t>，是将传统课堂教与学的角色与过程变更的一种以学生为中心的教学模式。在基于慕课的翻转课堂教学过程中，学生在课堂外借助慕课等在线教育资源进行自主学习，教师在课堂上有针对性地引导学生进行参与式、探究式、合作式学习。</w:t>
      </w:r>
    </w:p>
    <w:p>
      <w:pPr>
        <w:spacing w:line="560" w:lineRule="exact"/>
        <w:ind w:firstLine="560" w:firstLineChars="200"/>
        <w:rPr>
          <w:rFonts w:cs="楷体"/>
          <w:sz w:val="28"/>
          <w:szCs w:val="28"/>
        </w:rPr>
      </w:pPr>
    </w:p>
    <w:p>
      <w:pPr>
        <w:spacing w:line="560" w:lineRule="exact"/>
        <w:jc w:val="center"/>
        <w:rPr>
          <w:rFonts w:ascii="黑体" w:hAnsi="黑体" w:eastAsia="黑体"/>
          <w:b/>
          <w:sz w:val="32"/>
          <w:szCs w:val="32"/>
        </w:rPr>
      </w:pPr>
      <w:r>
        <w:rPr>
          <w:rFonts w:hint="eastAsia" w:ascii="黑体" w:hAnsi="黑体" w:eastAsia="黑体"/>
          <w:b/>
          <w:sz w:val="32"/>
          <w:szCs w:val="32"/>
        </w:rPr>
        <w:t>二、慕课基本标准</w:t>
      </w:r>
    </w:p>
    <w:p>
      <w:pPr>
        <w:spacing w:line="276" w:lineRule="auto"/>
        <w:ind w:firstLine="560" w:firstLineChars="200"/>
        <w:rPr>
          <w:rFonts w:cs="楷体"/>
          <w:sz w:val="28"/>
          <w:szCs w:val="28"/>
        </w:rPr>
      </w:pPr>
    </w:p>
    <w:p>
      <w:pPr>
        <w:spacing w:line="276" w:lineRule="auto"/>
        <w:ind w:firstLine="560" w:firstLineChars="200"/>
        <w:rPr>
          <w:rFonts w:cs="楷体"/>
          <w:sz w:val="28"/>
          <w:szCs w:val="28"/>
        </w:rPr>
      </w:pPr>
      <w:r>
        <w:rPr>
          <w:rFonts w:hint="eastAsia" w:cs="楷体"/>
          <w:sz w:val="28"/>
          <w:szCs w:val="28"/>
        </w:rPr>
        <w:t>借助慕课，教师通过发布数字化教学资源组织在线教学活动，学习者通过观看数字化教学资源在线参与相关讨论、测试、作业与考试，完整地实现一门课教与学的全过程。</w:t>
      </w:r>
    </w:p>
    <w:p>
      <w:pPr>
        <w:spacing w:line="276" w:lineRule="auto"/>
        <w:ind w:firstLine="560" w:firstLineChars="200"/>
        <w:rPr>
          <w:rFonts w:cs="楷体"/>
          <w:sz w:val="28"/>
          <w:szCs w:val="28"/>
        </w:rPr>
      </w:pPr>
      <w:r>
        <w:rPr>
          <w:rFonts w:hint="eastAsia" w:cs="楷体"/>
          <w:sz w:val="28"/>
          <w:szCs w:val="28"/>
        </w:rPr>
        <w:t>慕课基本标准如下。</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（一）基本要素</w:t>
      </w:r>
    </w:p>
    <w:p>
      <w:pPr>
        <w:spacing w:line="560" w:lineRule="exact"/>
        <w:ind w:firstLine="560" w:firstLineChars="200"/>
        <w:rPr>
          <w:rFonts w:cs="楷体"/>
          <w:sz w:val="28"/>
          <w:szCs w:val="28"/>
        </w:rPr>
      </w:pPr>
      <w:r>
        <w:rPr>
          <w:rFonts w:hint="eastAsia" w:cs="楷体"/>
          <w:sz w:val="28"/>
          <w:szCs w:val="28"/>
        </w:rPr>
        <w:t>基本要素包括课程介绍、课程大纲、教学视频、导学资源、讨论话题、作业与测试题等。</w:t>
      </w:r>
    </w:p>
    <w:p>
      <w:pPr>
        <w:spacing w:line="276" w:lineRule="auto"/>
        <w:ind w:firstLine="562" w:firstLineChars="200"/>
        <w:rPr>
          <w:rFonts w:cs="楷体"/>
          <w:sz w:val="28"/>
          <w:szCs w:val="28"/>
        </w:rPr>
      </w:pPr>
      <w:r>
        <w:rPr>
          <w:rFonts w:hint="eastAsia" w:ascii="黑体" w:hAnsi="黑体" w:eastAsia="黑体"/>
          <w:b/>
          <w:sz w:val="28"/>
          <w:szCs w:val="28"/>
        </w:rPr>
        <w:t>1．课程介绍。</w:t>
      </w:r>
      <w:r>
        <w:rPr>
          <w:rFonts w:hint="eastAsia" w:cs="楷体"/>
          <w:sz w:val="28"/>
          <w:szCs w:val="28"/>
        </w:rPr>
        <w:t>课程介绍是课程面向所有学习者开放的窗口信息，是学习者了解课程的重要渠道，包括但不限于下列信息：课程简介、学时要求、授课对象、教材与参考资料、开课计划、考核方式、成绩构成与获取方式等。课程介绍表述应严谨、规范、清晰、完整。</w:t>
      </w:r>
    </w:p>
    <w:p>
      <w:pPr>
        <w:spacing w:line="276" w:lineRule="auto"/>
        <w:ind w:firstLine="562" w:firstLineChars="200"/>
        <w:rPr>
          <w:rFonts w:cs="楷体"/>
          <w:sz w:val="28"/>
          <w:szCs w:val="28"/>
        </w:rPr>
      </w:pPr>
      <w:r>
        <w:rPr>
          <w:rFonts w:hint="eastAsia" w:ascii="黑体" w:hAnsi="黑体" w:eastAsia="黑体"/>
          <w:b/>
          <w:sz w:val="28"/>
          <w:szCs w:val="28"/>
        </w:rPr>
        <w:t>2．课程大纲。</w:t>
      </w:r>
      <w:r>
        <w:rPr>
          <w:rFonts w:hint="eastAsia" w:cs="楷体"/>
          <w:sz w:val="28"/>
          <w:szCs w:val="28"/>
        </w:rPr>
        <w:t>课程大纲是课程作用、课程性质、教学目标和教学任务以及由此规定的课程内容、范围和教学要求的纲要。慕课教学大纲须符合国家高等教育人才培养要求。</w:t>
      </w:r>
    </w:p>
    <w:p>
      <w:pPr>
        <w:spacing w:line="276" w:lineRule="auto"/>
        <w:ind w:firstLine="562" w:firstLineChars="200"/>
        <w:rPr>
          <w:rFonts w:cs="楷体"/>
          <w:sz w:val="28"/>
          <w:szCs w:val="28"/>
        </w:rPr>
      </w:pPr>
      <w:r>
        <w:rPr>
          <w:rFonts w:hint="eastAsia" w:ascii="黑体" w:hAnsi="黑体" w:eastAsia="黑体"/>
          <w:b/>
          <w:sz w:val="28"/>
          <w:szCs w:val="28"/>
        </w:rPr>
        <w:t>3．教学视频</w:t>
      </w:r>
      <w:r>
        <w:rPr>
          <w:rFonts w:hint="eastAsia" w:cs="楷体"/>
          <w:sz w:val="28"/>
          <w:szCs w:val="28"/>
        </w:rPr>
        <w:t>。</w:t>
      </w:r>
      <w:r>
        <w:rPr>
          <w:rFonts w:hint="eastAsia" w:cs="微软雅黑"/>
          <w:bCs/>
          <w:sz w:val="28"/>
          <w:szCs w:val="28"/>
        </w:rPr>
        <w:t>教学视频是慕课的主要教学资源，应</w:t>
      </w:r>
      <w:r>
        <w:rPr>
          <w:rFonts w:hint="eastAsia" w:cs="楷体"/>
          <w:sz w:val="28"/>
          <w:szCs w:val="28"/>
        </w:rPr>
        <w:t>覆盖课程大纲规定</w:t>
      </w:r>
      <w:r>
        <w:rPr>
          <w:rFonts w:cs="楷体"/>
          <w:sz w:val="28"/>
          <w:szCs w:val="28"/>
        </w:rPr>
        <w:t>的</w:t>
      </w:r>
      <w:r>
        <w:rPr>
          <w:rFonts w:hint="eastAsia" w:cs="楷体"/>
          <w:sz w:val="28"/>
          <w:szCs w:val="28"/>
        </w:rPr>
        <w:t>大部分</w:t>
      </w:r>
      <w:r>
        <w:rPr>
          <w:rFonts w:cs="楷体"/>
          <w:sz w:val="28"/>
          <w:szCs w:val="28"/>
        </w:rPr>
        <w:t>课程</w:t>
      </w:r>
      <w:r>
        <w:rPr>
          <w:rFonts w:hint="eastAsia" w:cs="楷体"/>
          <w:sz w:val="28"/>
          <w:szCs w:val="28"/>
        </w:rPr>
        <w:t>内容，</w:t>
      </w:r>
      <w:r>
        <w:rPr>
          <w:rFonts w:cs="楷体"/>
          <w:sz w:val="28"/>
          <w:szCs w:val="28"/>
        </w:rPr>
        <w:t>并</w:t>
      </w:r>
      <w:r>
        <w:rPr>
          <w:rFonts w:hint="eastAsia" w:cs="楷体"/>
          <w:sz w:val="28"/>
          <w:szCs w:val="28"/>
        </w:rPr>
        <w:t>满足：视频画面清晰、图像稳定、构图合理、声画同步，语言规范标准，声音清晰。主讲人出镜形象和语言应符合教师职业规范。单一教学视频时长建议为</w:t>
      </w:r>
      <w:r>
        <w:rPr>
          <w:rFonts w:cs="楷体"/>
          <w:sz w:val="28"/>
          <w:szCs w:val="28"/>
        </w:rPr>
        <w:t>5</w:t>
      </w:r>
      <w:r>
        <w:rPr>
          <w:rFonts w:hint="eastAsia" w:cs="楷体"/>
          <w:sz w:val="28"/>
          <w:szCs w:val="28"/>
        </w:rPr>
        <w:t>～15分钟，最长不超过20分钟。</w:t>
      </w:r>
    </w:p>
    <w:p>
      <w:pPr>
        <w:spacing w:line="276" w:lineRule="auto"/>
        <w:ind w:firstLine="562" w:firstLineChars="200"/>
        <w:rPr>
          <w:rFonts w:cs="楷体"/>
          <w:sz w:val="28"/>
          <w:szCs w:val="28"/>
        </w:rPr>
      </w:pPr>
      <w:r>
        <w:rPr>
          <w:rFonts w:hint="eastAsia" w:ascii="黑体" w:hAnsi="黑体" w:eastAsia="黑体"/>
          <w:b/>
          <w:sz w:val="28"/>
          <w:szCs w:val="28"/>
        </w:rPr>
        <w:t>4．导学资源。</w:t>
      </w:r>
      <w:r>
        <w:rPr>
          <w:rFonts w:hint="eastAsia" w:cs="楷体"/>
          <w:sz w:val="28"/>
          <w:szCs w:val="28"/>
        </w:rPr>
        <w:t>主要指帮助</w:t>
      </w:r>
      <w:r>
        <w:rPr>
          <w:rFonts w:cs="楷体"/>
          <w:sz w:val="28"/>
          <w:szCs w:val="28"/>
        </w:rPr>
        <w:t>学习者完成</w:t>
      </w:r>
      <w:r>
        <w:rPr>
          <w:rFonts w:hint="eastAsia" w:cs="楷体"/>
          <w:sz w:val="28"/>
          <w:szCs w:val="28"/>
        </w:rPr>
        <w:t>课程内容学习所需</w:t>
      </w:r>
      <w:r>
        <w:rPr>
          <w:rFonts w:cs="楷体"/>
          <w:sz w:val="28"/>
          <w:szCs w:val="28"/>
        </w:rPr>
        <w:t>的</w:t>
      </w:r>
      <w:r>
        <w:rPr>
          <w:rFonts w:hint="eastAsia" w:cs="微软雅黑"/>
          <w:bCs/>
          <w:sz w:val="28"/>
          <w:szCs w:val="28"/>
        </w:rPr>
        <w:t>教学资源，包括教学课件、导学文档、练习题、习题解析、扩展学习资料等。</w:t>
      </w:r>
    </w:p>
    <w:p>
      <w:pPr>
        <w:spacing w:line="276" w:lineRule="auto"/>
        <w:ind w:firstLine="562" w:firstLineChars="200"/>
        <w:rPr>
          <w:rFonts w:ascii="黑体" w:hAnsi="黑体" w:eastAsia="黑体"/>
          <w:b/>
          <w:sz w:val="28"/>
          <w:szCs w:val="28"/>
        </w:rPr>
      </w:pPr>
      <w:r>
        <w:rPr>
          <w:rFonts w:hint="eastAsia" w:ascii="黑体" w:hAnsi="黑体" w:eastAsia="黑体"/>
          <w:b/>
          <w:sz w:val="28"/>
          <w:szCs w:val="28"/>
        </w:rPr>
        <w:t>5．讨论话题。</w:t>
      </w:r>
      <w:r>
        <w:rPr>
          <w:rFonts w:hint="eastAsia" w:cs="微软雅黑"/>
          <w:bCs/>
          <w:sz w:val="28"/>
          <w:szCs w:val="28"/>
        </w:rPr>
        <w:t>讨论话题是慕课教师发出的，用于组织学生讨论的开放性题目，是课程学习的有机组成部分。讨论话题应与课程内容密切相关，促进学生之间、学生与教师之间的在线交流，以加强课程内容的深度学习。</w:t>
      </w:r>
    </w:p>
    <w:p>
      <w:pPr>
        <w:spacing w:line="276" w:lineRule="auto"/>
        <w:ind w:firstLine="562" w:firstLineChars="200"/>
        <w:rPr>
          <w:rFonts w:cs="宋体"/>
          <w:sz w:val="28"/>
          <w:szCs w:val="28"/>
        </w:rPr>
      </w:pPr>
      <w:r>
        <w:rPr>
          <w:rFonts w:hint="eastAsia" w:ascii="黑体" w:hAnsi="黑体" w:eastAsia="黑体"/>
          <w:b/>
          <w:sz w:val="28"/>
          <w:szCs w:val="28"/>
        </w:rPr>
        <w:t>6．作业与测试题</w:t>
      </w:r>
      <w:r>
        <w:rPr>
          <w:rFonts w:hint="eastAsia" w:cs="楷体"/>
          <w:sz w:val="28"/>
          <w:szCs w:val="28"/>
        </w:rPr>
        <w:t>。作业题与测试题用于支持过程化考核与个性化考核</w:t>
      </w:r>
      <w:r>
        <w:rPr>
          <w:rFonts w:hint="eastAsia" w:cs="宋体"/>
          <w:sz w:val="28"/>
          <w:szCs w:val="28"/>
        </w:rPr>
        <w:t>，可以是主观题、客观题，或是两者的组合。主观题可以采用学生互评或教师批改的方式进行评分；客观题可采用系统自动评分。</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（二）内容要求</w:t>
      </w:r>
    </w:p>
    <w:p>
      <w:pPr>
        <w:spacing w:line="560" w:lineRule="exact"/>
        <w:ind w:firstLine="560" w:firstLineChars="200"/>
        <w:rPr>
          <w:sz w:val="28"/>
          <w:szCs w:val="28"/>
        </w:rPr>
      </w:pPr>
      <w:r>
        <w:rPr>
          <w:rFonts w:hint="eastAsia"/>
          <w:sz w:val="28"/>
          <w:szCs w:val="28"/>
        </w:rPr>
        <w:t>1．</w:t>
      </w:r>
      <w:r>
        <w:rPr>
          <w:rFonts w:hint="eastAsia" w:ascii="黑体" w:hAnsi="黑体" w:eastAsia="黑体"/>
          <w:b/>
          <w:sz w:val="28"/>
          <w:szCs w:val="28"/>
        </w:rPr>
        <w:t>课程设计</w:t>
      </w:r>
      <w:r>
        <w:rPr>
          <w:rFonts w:hint="eastAsia"/>
          <w:sz w:val="28"/>
          <w:szCs w:val="28"/>
        </w:rPr>
        <w:t>。</w:t>
      </w:r>
      <w:r>
        <w:rPr>
          <w:rFonts w:hint="eastAsia"/>
          <w:color w:val="C00000"/>
          <w:sz w:val="28"/>
          <w:szCs w:val="28"/>
        </w:rPr>
        <w:t>课程</w:t>
      </w:r>
      <w:r>
        <w:rPr>
          <w:rFonts w:hint="eastAsia"/>
          <w:sz w:val="28"/>
          <w:szCs w:val="28"/>
        </w:rPr>
        <w:t>遵循教育教学规律，体现现代教育思想，教学目标明确，课程内容规范完整，教学方法注重信息技术与教学深度融合，评价考核合理，反映学科、专业基本内容与最新发展成果，内容更新完善及时。</w:t>
      </w:r>
    </w:p>
    <w:p>
      <w:pPr>
        <w:spacing w:line="560" w:lineRule="exact"/>
        <w:ind w:firstLine="560" w:firstLineChars="200"/>
        <w:rPr>
          <w:rFonts w:ascii="楷体" w:hAnsi="楷体" w:eastAsia="楷体"/>
          <w:color w:val="00B0F0"/>
          <w:sz w:val="28"/>
          <w:szCs w:val="28"/>
        </w:rPr>
      </w:pPr>
      <w:r>
        <w:rPr>
          <w:rFonts w:hint="eastAsia"/>
          <w:sz w:val="28"/>
          <w:szCs w:val="28"/>
        </w:rPr>
        <w:t>2．</w:t>
      </w:r>
      <w:r>
        <w:rPr>
          <w:rFonts w:hint="eastAsia" w:ascii="黑体" w:hAnsi="黑体" w:eastAsia="黑体"/>
          <w:b/>
          <w:sz w:val="28"/>
          <w:szCs w:val="28"/>
        </w:rPr>
        <w:t>基本规范</w:t>
      </w:r>
      <w:r>
        <w:rPr>
          <w:rFonts w:hint="eastAsia"/>
          <w:sz w:val="28"/>
          <w:szCs w:val="28"/>
        </w:rPr>
        <w:t>。课程适合网络化公开传播，且不存在思想性或科学性问题,并有正确的价值导向；确保无危害国家安全、涉密的内容；无侵犯他人知识产权的</w:t>
      </w:r>
      <w:r>
        <w:rPr>
          <w:sz w:val="28"/>
          <w:szCs w:val="28"/>
        </w:rPr>
        <w:t>内容</w:t>
      </w:r>
      <w:r>
        <w:rPr>
          <w:rFonts w:hint="eastAsia"/>
          <w:sz w:val="28"/>
          <w:szCs w:val="28"/>
        </w:rPr>
        <w:t>。</w:t>
      </w:r>
      <w:r>
        <w:rPr>
          <w:rFonts w:hint="eastAsia" w:ascii="楷体" w:hAnsi="楷体" w:eastAsia="楷体"/>
          <w:color w:val="00B0F0"/>
          <w:sz w:val="28"/>
          <w:szCs w:val="28"/>
        </w:rPr>
        <w:t xml:space="preserve"> </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（三）开放运行</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 xml:space="preserve">1．学期制模式 </w:t>
      </w:r>
    </w:p>
    <w:p>
      <w:pPr>
        <w:spacing w:line="560" w:lineRule="exact"/>
        <w:ind w:firstLine="560" w:firstLineChars="200"/>
        <w:rPr>
          <w:rFonts w:cs="楷体"/>
          <w:sz w:val="28"/>
          <w:szCs w:val="28"/>
        </w:rPr>
      </w:pPr>
      <w:r>
        <w:rPr>
          <w:rFonts w:hint="eastAsia" w:cs="楷体"/>
          <w:sz w:val="28"/>
          <w:szCs w:val="28"/>
        </w:rPr>
        <w:t>慕课开放有学期制模式和自主模式。学期制模式有明确开课、结课时间和课程进度；自主模式没有明确开课、结课时间，全部教学内容都放在线上开放运行。本指南主要面向高等学校慕课，建议课程运行采取学期制模式。</w:t>
      </w:r>
    </w:p>
    <w:p>
      <w:pPr>
        <w:spacing w:line="560" w:lineRule="exact"/>
        <w:ind w:firstLine="560" w:firstLineChars="200"/>
        <w:rPr>
          <w:rFonts w:cs="楷体"/>
          <w:sz w:val="28"/>
          <w:szCs w:val="28"/>
          <w:highlight w:val="yellow"/>
        </w:rPr>
      </w:pPr>
      <w:r>
        <w:rPr>
          <w:rFonts w:hint="eastAsia" w:cs="楷体"/>
          <w:sz w:val="28"/>
          <w:szCs w:val="28"/>
        </w:rPr>
        <w:t>在开课日期和结课日期之间的一个周期称为一个慕课学期。慕课学期可以不同于学校的学期，一般为6～</w:t>
      </w:r>
      <w:r>
        <w:rPr>
          <w:rFonts w:cs="楷体"/>
          <w:sz w:val="28"/>
          <w:szCs w:val="28"/>
        </w:rPr>
        <w:t>16周</w:t>
      </w:r>
      <w:r>
        <w:rPr>
          <w:rFonts w:hint="eastAsia" w:cs="楷体"/>
          <w:sz w:val="28"/>
          <w:szCs w:val="28"/>
        </w:rPr>
        <w:t>。</w:t>
      </w:r>
    </w:p>
    <w:p>
      <w:pPr>
        <w:spacing w:line="276" w:lineRule="auto"/>
        <w:ind w:firstLine="560" w:firstLineChars="200"/>
        <w:rPr>
          <w:rFonts w:cs="楷体"/>
          <w:sz w:val="28"/>
          <w:szCs w:val="28"/>
        </w:rPr>
      </w:pPr>
      <w:r>
        <w:rPr>
          <w:rFonts w:hint="eastAsia" w:cs="楷体"/>
          <w:sz w:val="28"/>
          <w:szCs w:val="28"/>
        </w:rPr>
        <w:t>各种慕课教学活动按慕课学期（</w:t>
      </w:r>
      <w:r>
        <w:rPr>
          <w:rFonts w:cs="楷体"/>
          <w:sz w:val="28"/>
          <w:szCs w:val="28"/>
        </w:rPr>
        <w:t>以下简称为“学期”）</w:t>
      </w:r>
      <w:r>
        <w:rPr>
          <w:rFonts w:hint="eastAsia" w:cs="楷体"/>
          <w:sz w:val="28"/>
          <w:szCs w:val="28"/>
        </w:rPr>
        <w:t>组织与实施，课程教学资源在学期内有序、均衡推送。学期开始时有“课程发布”环节，学期结束时有“课程关闭”环节。</w:t>
      </w:r>
    </w:p>
    <w:p>
      <w:pPr>
        <w:spacing w:line="276" w:lineRule="auto"/>
        <w:ind w:firstLine="560" w:firstLineChars="200"/>
        <w:rPr>
          <w:rFonts w:cs="楷体"/>
          <w:sz w:val="28"/>
          <w:szCs w:val="28"/>
        </w:rPr>
      </w:pPr>
      <w:r>
        <w:rPr>
          <w:rFonts w:hint="eastAsia" w:cs="楷体"/>
          <w:sz w:val="28"/>
          <w:szCs w:val="28"/>
        </w:rPr>
        <w:t>课程选课、结课等相关学习数据以学期为单位进行统计。</w:t>
      </w:r>
    </w:p>
    <w:p>
      <w:pPr>
        <w:spacing w:line="560" w:lineRule="exact"/>
        <w:ind w:firstLine="562" w:firstLineChars="200"/>
        <w:rPr>
          <w:rFonts w:cs="楷体"/>
          <w:sz w:val="28"/>
          <w:szCs w:val="28"/>
        </w:rPr>
      </w:pPr>
      <w:r>
        <w:rPr>
          <w:rFonts w:hint="eastAsia" w:ascii="黑体" w:hAnsi="黑体" w:eastAsia="黑体"/>
          <w:b/>
          <w:sz w:val="28"/>
          <w:szCs w:val="28"/>
        </w:rPr>
        <w:t>2．教学计划</w:t>
      </w:r>
      <w:r>
        <w:rPr>
          <w:rFonts w:hint="eastAsia" w:cs="楷体"/>
          <w:sz w:val="28"/>
          <w:szCs w:val="28"/>
        </w:rPr>
        <w:t>。教学计划是开课教师对所有慕课资源和教学活动开放时间和进度的有序安排，包含主要学习专题、</w:t>
      </w:r>
      <w:r>
        <w:rPr>
          <w:rFonts w:cs="楷体"/>
          <w:sz w:val="28"/>
          <w:szCs w:val="28"/>
        </w:rPr>
        <w:t>学习</w:t>
      </w:r>
      <w:r>
        <w:rPr>
          <w:rFonts w:hint="eastAsia" w:cs="楷体"/>
          <w:sz w:val="28"/>
          <w:szCs w:val="28"/>
        </w:rPr>
        <w:t>单元的内容结构。通常按周或相对固定的周期开放教学资源，组织教学活动。</w:t>
      </w:r>
    </w:p>
    <w:p>
      <w:pPr>
        <w:spacing w:line="560" w:lineRule="exact"/>
        <w:ind w:firstLine="560" w:firstLineChars="200"/>
        <w:rPr>
          <w:rFonts w:cs="楷体"/>
          <w:sz w:val="28"/>
          <w:szCs w:val="28"/>
        </w:rPr>
      </w:pPr>
      <w:r>
        <w:rPr>
          <w:rFonts w:hint="eastAsia" w:cs="楷体"/>
          <w:sz w:val="28"/>
          <w:szCs w:val="28"/>
        </w:rPr>
        <w:t>一次发布开放的教学资源和教学活动，构成慕课一“讲”或一“章”（以下均用“讲”来表述）。</w:t>
      </w:r>
    </w:p>
    <w:p>
      <w:pPr>
        <w:spacing w:line="560" w:lineRule="exact"/>
        <w:ind w:firstLine="560" w:firstLineChars="200"/>
        <w:rPr>
          <w:rFonts w:cs="楷体"/>
          <w:sz w:val="28"/>
          <w:szCs w:val="28"/>
        </w:rPr>
      </w:pPr>
      <w:r>
        <w:rPr>
          <w:rFonts w:hint="eastAsia" w:cs="楷体"/>
          <w:sz w:val="28"/>
          <w:szCs w:val="28"/>
        </w:rPr>
        <w:t>每讲通常包含多个教学视频和相关的学习活动，教学视频总时长建议在50分钟左右，一般不少于30分钟、不超过120分钟。</w:t>
      </w:r>
    </w:p>
    <w:p>
      <w:pPr>
        <w:spacing w:line="560" w:lineRule="exact"/>
        <w:ind w:firstLine="562" w:firstLineChars="200"/>
        <w:rPr>
          <w:rFonts w:cs="楷体"/>
          <w:sz w:val="28"/>
          <w:szCs w:val="28"/>
        </w:rPr>
      </w:pPr>
      <w:r>
        <w:rPr>
          <w:rFonts w:hint="eastAsia" w:ascii="黑体" w:hAnsi="黑体" w:eastAsia="黑体"/>
          <w:b/>
          <w:sz w:val="28"/>
          <w:szCs w:val="28"/>
        </w:rPr>
        <w:t>3．学习活动</w:t>
      </w:r>
      <w:r>
        <w:rPr>
          <w:rFonts w:hint="eastAsia" w:cs="楷体"/>
          <w:sz w:val="28"/>
          <w:szCs w:val="28"/>
        </w:rPr>
        <w:t>。按照教学计划为学习者提供一系列线上作业、测试</w:t>
      </w:r>
      <w:r>
        <w:rPr>
          <w:rFonts w:cs="楷体"/>
          <w:sz w:val="28"/>
          <w:szCs w:val="28"/>
        </w:rPr>
        <w:t>、考试，</w:t>
      </w:r>
      <w:r>
        <w:rPr>
          <w:rFonts w:hint="eastAsia" w:cs="楷体"/>
          <w:sz w:val="28"/>
          <w:szCs w:val="28"/>
        </w:rPr>
        <w:t>以及</w:t>
      </w:r>
      <w:r>
        <w:rPr>
          <w:rFonts w:cs="楷体"/>
          <w:sz w:val="28"/>
          <w:szCs w:val="28"/>
        </w:rPr>
        <w:t>线下考试</w:t>
      </w:r>
      <w:r>
        <w:rPr>
          <w:rFonts w:hint="eastAsia" w:cs="楷体"/>
          <w:sz w:val="28"/>
          <w:szCs w:val="28"/>
        </w:rPr>
        <w:t>等学习活动；及时开展在线指导与测评。</w:t>
      </w:r>
    </w:p>
    <w:p>
      <w:pPr>
        <w:spacing w:line="560" w:lineRule="exact"/>
        <w:ind w:firstLine="560" w:firstLineChars="200"/>
        <w:rPr>
          <w:rFonts w:cs="楷体"/>
          <w:sz w:val="28"/>
          <w:szCs w:val="28"/>
        </w:rPr>
      </w:pPr>
      <w:r>
        <w:rPr>
          <w:rFonts w:hint="eastAsia" w:cs="楷体"/>
          <w:sz w:val="28"/>
          <w:szCs w:val="28"/>
        </w:rPr>
        <w:t>（1）线上作业是指教师布置的开放性题目，由学生线下完成并上传；由教师批改并评价，或者采取学生线上互评方式进行评价。</w:t>
      </w:r>
    </w:p>
    <w:p>
      <w:pPr>
        <w:spacing w:line="560" w:lineRule="exact"/>
        <w:ind w:firstLine="560" w:firstLineChars="200"/>
        <w:rPr>
          <w:rFonts w:cs="楷体"/>
          <w:sz w:val="28"/>
          <w:szCs w:val="28"/>
        </w:rPr>
      </w:pPr>
      <w:r>
        <w:rPr>
          <w:rFonts w:hint="eastAsia" w:cs="楷体"/>
          <w:sz w:val="28"/>
          <w:szCs w:val="28"/>
        </w:rPr>
        <w:t>（</w:t>
      </w:r>
      <w:r>
        <w:rPr>
          <w:rFonts w:cs="楷体"/>
          <w:sz w:val="28"/>
          <w:szCs w:val="28"/>
        </w:rPr>
        <w:t>2）</w:t>
      </w:r>
      <w:r>
        <w:rPr>
          <w:rFonts w:hint="eastAsia" w:cs="楷体"/>
          <w:sz w:val="28"/>
          <w:szCs w:val="28"/>
        </w:rPr>
        <w:t>线上测试是指教师准备测试题目，通常为客观题目，由学生线上限时完成，并可由系统自动评判与评价。</w:t>
      </w:r>
    </w:p>
    <w:p>
      <w:pPr>
        <w:spacing w:line="560" w:lineRule="exact"/>
        <w:ind w:firstLine="560" w:firstLineChars="200"/>
        <w:rPr>
          <w:rFonts w:cs="楷体"/>
          <w:sz w:val="28"/>
          <w:szCs w:val="28"/>
        </w:rPr>
      </w:pPr>
      <w:r>
        <w:rPr>
          <w:rFonts w:hint="eastAsia" w:cs="楷体"/>
          <w:sz w:val="28"/>
          <w:szCs w:val="28"/>
        </w:rPr>
        <w:t>（</w:t>
      </w:r>
      <w:r>
        <w:rPr>
          <w:rFonts w:cs="楷体"/>
          <w:sz w:val="28"/>
          <w:szCs w:val="28"/>
        </w:rPr>
        <w:t>3）</w:t>
      </w:r>
      <w:r>
        <w:rPr>
          <w:rFonts w:hint="eastAsia" w:cs="楷体"/>
          <w:sz w:val="28"/>
          <w:szCs w:val="28"/>
        </w:rPr>
        <w:t>线上考试是指在课程期中或期末组织的测试，可以是主观题目或客观题目，由学生线上限时完成，由教师批改并评价或系统自动评判与评价。</w:t>
      </w:r>
    </w:p>
    <w:p>
      <w:pPr>
        <w:spacing w:line="560" w:lineRule="exact"/>
        <w:ind w:firstLine="560" w:firstLineChars="200"/>
        <w:rPr>
          <w:rFonts w:cs="楷体"/>
          <w:sz w:val="28"/>
          <w:szCs w:val="28"/>
        </w:rPr>
      </w:pPr>
      <w:r>
        <w:rPr>
          <w:rFonts w:hint="eastAsia" w:cs="楷体"/>
          <w:sz w:val="28"/>
          <w:szCs w:val="28"/>
        </w:rPr>
        <w:t>（</w:t>
      </w:r>
      <w:r>
        <w:rPr>
          <w:rFonts w:cs="楷体"/>
          <w:sz w:val="28"/>
          <w:szCs w:val="28"/>
        </w:rPr>
        <w:t>4</w:t>
      </w:r>
      <w:r>
        <w:rPr>
          <w:rFonts w:hint="eastAsia" w:cs="楷体"/>
          <w:sz w:val="28"/>
          <w:szCs w:val="28"/>
        </w:rPr>
        <w:t>）教师</w:t>
      </w:r>
      <w:r>
        <w:rPr>
          <w:rFonts w:cs="楷体"/>
          <w:sz w:val="28"/>
          <w:szCs w:val="28"/>
        </w:rPr>
        <w:t>根据教学</w:t>
      </w:r>
      <w:r>
        <w:rPr>
          <w:rFonts w:hint="eastAsia" w:cs="楷体"/>
          <w:sz w:val="28"/>
          <w:szCs w:val="28"/>
        </w:rPr>
        <w:t>进度</w:t>
      </w:r>
      <w:r>
        <w:rPr>
          <w:rFonts w:cs="楷体"/>
          <w:sz w:val="28"/>
          <w:szCs w:val="28"/>
        </w:rPr>
        <w:t>可安排</w:t>
      </w:r>
      <w:r>
        <w:rPr>
          <w:rFonts w:hint="eastAsia" w:cs="楷体"/>
          <w:sz w:val="28"/>
          <w:szCs w:val="28"/>
        </w:rPr>
        <w:t>基于慕课内容的线下考试。</w:t>
      </w:r>
    </w:p>
    <w:p>
      <w:pPr>
        <w:spacing w:line="560" w:lineRule="exact"/>
        <w:ind w:firstLine="560" w:firstLineChars="200"/>
        <w:rPr>
          <w:rFonts w:cs="宋体"/>
          <w:sz w:val="28"/>
          <w:szCs w:val="28"/>
        </w:rPr>
      </w:pPr>
      <w:r>
        <w:rPr>
          <w:rFonts w:hint="eastAsia" w:cs="楷体"/>
          <w:sz w:val="28"/>
          <w:szCs w:val="28"/>
        </w:rPr>
        <w:t>作业、测试与考试</w:t>
      </w:r>
      <w:r>
        <w:rPr>
          <w:rFonts w:cs="宋体"/>
          <w:sz w:val="28"/>
          <w:szCs w:val="28"/>
        </w:rPr>
        <w:t>满足测试目标的要求，涵盖考查范围内的主要知识点，考查内容的题量和试题难度分布应与教学内容结构一致，具有一定的效度和信度</w:t>
      </w:r>
      <w:r>
        <w:rPr>
          <w:rFonts w:hint="eastAsia" w:cs="宋体"/>
          <w:sz w:val="28"/>
          <w:szCs w:val="28"/>
        </w:rPr>
        <w:t>。</w:t>
      </w:r>
    </w:p>
    <w:p>
      <w:pPr>
        <w:spacing w:line="560" w:lineRule="exact"/>
        <w:ind w:firstLine="560" w:firstLineChars="200"/>
        <w:rPr>
          <w:rFonts w:cs="微软雅黑"/>
          <w:bCs/>
          <w:sz w:val="28"/>
          <w:szCs w:val="28"/>
        </w:rPr>
      </w:pPr>
      <w:r>
        <w:rPr>
          <w:rFonts w:hint="eastAsia" w:cs="楷体"/>
          <w:sz w:val="28"/>
          <w:szCs w:val="28"/>
        </w:rPr>
        <w:t>（</w:t>
      </w:r>
      <w:r>
        <w:rPr>
          <w:rFonts w:cs="楷体"/>
          <w:sz w:val="28"/>
          <w:szCs w:val="28"/>
        </w:rPr>
        <w:t>5</w:t>
      </w:r>
      <w:r>
        <w:rPr>
          <w:rFonts w:hint="eastAsia" w:cs="楷体"/>
          <w:sz w:val="28"/>
          <w:szCs w:val="28"/>
        </w:rPr>
        <w:t>）教师要组织好课程讨论（发帖），</w:t>
      </w:r>
      <w:r>
        <w:rPr>
          <w:rFonts w:hint="eastAsia" w:cs="微软雅黑"/>
          <w:bCs/>
          <w:sz w:val="28"/>
          <w:szCs w:val="28"/>
        </w:rPr>
        <w:t>同时</w:t>
      </w:r>
      <w:r>
        <w:rPr>
          <w:rFonts w:cs="微软雅黑"/>
          <w:bCs/>
          <w:sz w:val="28"/>
          <w:szCs w:val="28"/>
        </w:rPr>
        <w:t>应</w:t>
      </w:r>
      <w:r>
        <w:rPr>
          <w:rFonts w:hint="eastAsia" w:cs="微软雅黑"/>
          <w:bCs/>
          <w:sz w:val="28"/>
          <w:szCs w:val="28"/>
        </w:rPr>
        <w:t>提供在线答疑和在线指导（回帖和评论）。</w:t>
      </w:r>
    </w:p>
    <w:p>
      <w:pPr>
        <w:spacing w:line="560" w:lineRule="exact"/>
        <w:ind w:firstLine="562" w:firstLineChars="200"/>
        <w:rPr>
          <w:rFonts w:cs="楷体"/>
          <w:sz w:val="28"/>
          <w:szCs w:val="28"/>
        </w:rPr>
      </w:pPr>
      <w:r>
        <w:rPr>
          <w:rFonts w:hint="eastAsia" w:ascii="黑体" w:hAnsi="黑体" w:eastAsia="黑体"/>
          <w:b/>
          <w:sz w:val="28"/>
          <w:szCs w:val="28"/>
        </w:rPr>
        <w:t>4．学习评价</w:t>
      </w:r>
      <w:r>
        <w:rPr>
          <w:rFonts w:hint="eastAsia" w:cs="楷体"/>
          <w:sz w:val="28"/>
          <w:szCs w:val="28"/>
        </w:rPr>
        <w:t>。按照事先公布的考核方式与成绩获得方式，对学生学习成果及时进行累加式、形成性或总结性评价。</w:t>
      </w:r>
    </w:p>
    <w:p>
      <w:pPr>
        <w:spacing w:line="560" w:lineRule="exact"/>
        <w:ind w:firstLine="560" w:firstLineChars="200"/>
        <w:rPr>
          <w:sz w:val="28"/>
          <w:szCs w:val="28"/>
        </w:rPr>
      </w:pPr>
      <w:r>
        <w:rPr>
          <w:rFonts w:hint="eastAsia"/>
          <w:sz w:val="28"/>
          <w:szCs w:val="28"/>
        </w:rPr>
        <w:t>（1）慕课可以实施分讲评价或分阶段评价等累加式评价，并与期末考试的比重分配合理。课程成绩有明确的百分制或其他分制的学习结课标准，其中每次评价比重不宜过高。</w:t>
      </w:r>
    </w:p>
    <w:p>
      <w:pPr>
        <w:spacing w:line="560" w:lineRule="exact"/>
        <w:ind w:firstLine="560" w:firstLineChars="200"/>
        <w:rPr>
          <w:rFonts w:cs="楷体"/>
          <w:sz w:val="28"/>
          <w:szCs w:val="28"/>
        </w:rPr>
      </w:pPr>
      <w:r>
        <w:rPr>
          <w:rFonts w:hint="eastAsia" w:cs="宋体"/>
          <w:sz w:val="28"/>
          <w:szCs w:val="28"/>
        </w:rPr>
        <w:t>（2）能够</w:t>
      </w:r>
      <w:r>
        <w:rPr>
          <w:rFonts w:hint="eastAsia" w:cs="楷体"/>
          <w:sz w:val="28"/>
          <w:szCs w:val="28"/>
        </w:rPr>
        <w:t>支持课程个性化考核，即能够从若干题目中随机形成不同的试卷，做到不同学生不同次参与考核有不同试卷。</w:t>
      </w:r>
    </w:p>
    <w:p>
      <w:pPr>
        <w:spacing w:line="560" w:lineRule="exact"/>
        <w:ind w:firstLine="560" w:firstLineChars="200"/>
        <w:rPr>
          <w:rFonts w:cs="楷体"/>
          <w:sz w:val="28"/>
          <w:szCs w:val="28"/>
        </w:rPr>
      </w:pPr>
      <w:r>
        <w:rPr>
          <w:rFonts w:hint="eastAsia" w:cs="楷体"/>
          <w:sz w:val="28"/>
          <w:szCs w:val="28"/>
        </w:rPr>
        <w:t>（3）能够支持课程过程化考核，慕课学期内至少组织3次以上的作业、测试或考试。每次测试，</w:t>
      </w:r>
      <w:r>
        <w:rPr>
          <w:rFonts w:hint="eastAsia" w:cs="楷体"/>
          <w:b/>
          <w:bCs/>
          <w:color w:val="C00000"/>
          <w:sz w:val="28"/>
          <w:szCs w:val="28"/>
        </w:rPr>
        <w:t>非重复性客观题目数不少于学生</w:t>
      </w:r>
      <w:r>
        <w:rPr>
          <w:rFonts w:hint="eastAsia" w:cs="楷体"/>
          <w:b/>
          <w:bCs/>
          <w:color w:val="1F4E79" w:themeColor="accent1" w:themeShade="80"/>
          <w:sz w:val="28"/>
          <w:szCs w:val="28"/>
        </w:rPr>
        <w:t>个性化试卷题目数</w:t>
      </w:r>
      <w:r>
        <w:rPr>
          <w:rFonts w:hint="eastAsia" w:cs="楷体"/>
          <w:b/>
          <w:bCs/>
          <w:color w:val="C00000"/>
          <w:sz w:val="28"/>
          <w:szCs w:val="28"/>
        </w:rPr>
        <w:t>的150%。</w:t>
      </w:r>
    </w:p>
    <w:p>
      <w:pPr>
        <w:spacing w:line="560" w:lineRule="exact"/>
        <w:ind w:firstLine="562" w:firstLineChars="200"/>
        <w:rPr>
          <w:rFonts w:cs="楷体"/>
          <w:color w:val="C00000"/>
          <w:sz w:val="28"/>
          <w:szCs w:val="28"/>
        </w:rPr>
      </w:pPr>
      <w:r>
        <w:rPr>
          <w:rFonts w:hint="eastAsia" w:ascii="黑体" w:hAnsi="黑体" w:eastAsia="黑体"/>
          <w:b/>
          <w:color w:val="C00000"/>
          <w:sz w:val="28"/>
          <w:szCs w:val="28"/>
        </w:rPr>
        <w:t>5．慕课学分标准。</w:t>
      </w:r>
      <w:r>
        <w:rPr>
          <w:rFonts w:hint="eastAsia"/>
          <w:color w:val="C00000"/>
          <w:sz w:val="28"/>
          <w:szCs w:val="28"/>
        </w:rPr>
        <w:t>1个慕课学分一般包括8讲课程内容及相应学习时间，每讲视频总时长不少于50分钟</w:t>
      </w:r>
      <w:r>
        <w:rPr>
          <w:rFonts w:hint="eastAsia" w:cs="楷体"/>
          <w:color w:val="C00000"/>
          <w:sz w:val="28"/>
          <w:szCs w:val="28"/>
        </w:rPr>
        <w:t>。</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 xml:space="preserve">（四）教学服务 </w:t>
      </w:r>
    </w:p>
    <w:p>
      <w:pPr>
        <w:spacing w:line="276" w:lineRule="auto"/>
        <w:ind w:firstLine="560" w:firstLineChars="200"/>
        <w:rPr>
          <w:rFonts w:cs="楷体"/>
          <w:sz w:val="28"/>
          <w:szCs w:val="28"/>
        </w:rPr>
      </w:pPr>
      <w:r>
        <w:rPr>
          <w:rFonts w:hint="eastAsia" w:cs="楷体"/>
          <w:sz w:val="28"/>
          <w:szCs w:val="28"/>
        </w:rPr>
        <w:t>课程负责人应</w:t>
      </w:r>
      <w:r>
        <w:rPr>
          <w:rFonts w:cs="楷体"/>
          <w:sz w:val="28"/>
          <w:szCs w:val="28"/>
        </w:rPr>
        <w:t>通过</w:t>
      </w:r>
      <w:r>
        <w:rPr>
          <w:rFonts w:hint="eastAsia" w:cs="楷体"/>
          <w:sz w:val="28"/>
          <w:szCs w:val="28"/>
        </w:rPr>
        <w:t>所在高校或慕课平台的资格认定。课程团队师德好、教学能力强、教学经验丰富，结构合理、人员稳定，除课程负责人和主讲教师外，还应配备必要的助教，保障慕课教学正常有序进行。课程团队应提供的教学服务包括但不限于：</w:t>
      </w:r>
      <w:r>
        <w:rPr>
          <w:rFonts w:hint="eastAsia" w:ascii="楷体" w:hAnsi="楷体" w:eastAsia="楷体"/>
          <w:color w:val="00B0F0"/>
          <w:sz w:val="28"/>
          <w:szCs w:val="28"/>
        </w:rPr>
        <w:t xml:space="preserve"> </w:t>
      </w:r>
    </w:p>
    <w:p>
      <w:pPr>
        <w:spacing w:line="276" w:lineRule="auto"/>
        <w:ind w:firstLine="560" w:firstLineChars="200"/>
        <w:rPr>
          <w:rFonts w:cs="楷体"/>
          <w:sz w:val="28"/>
          <w:szCs w:val="28"/>
        </w:rPr>
      </w:pPr>
      <w:r>
        <w:rPr>
          <w:rFonts w:hint="eastAsia" w:cs="楷体"/>
          <w:sz w:val="28"/>
          <w:szCs w:val="28"/>
        </w:rPr>
        <w:t>（1）按预先公告的教学进程，及时发布课程教学资源；</w:t>
      </w:r>
    </w:p>
    <w:p>
      <w:pPr>
        <w:spacing w:line="276" w:lineRule="auto"/>
        <w:ind w:firstLine="560" w:firstLineChars="200"/>
        <w:rPr>
          <w:rFonts w:cs="Times New Roman"/>
          <w:sz w:val="28"/>
          <w:szCs w:val="28"/>
        </w:rPr>
      </w:pPr>
      <w:r>
        <w:rPr>
          <w:rFonts w:hint="eastAsia" w:cs="楷体"/>
          <w:sz w:val="28"/>
          <w:szCs w:val="28"/>
        </w:rPr>
        <w:t>（2）周期性发布学习</w:t>
      </w:r>
      <w:r>
        <w:rPr>
          <w:rFonts w:hint="eastAsia" w:cs="微软雅黑"/>
          <w:bCs/>
          <w:sz w:val="28"/>
          <w:szCs w:val="28"/>
        </w:rPr>
        <w:t>公告</w:t>
      </w:r>
      <w:r>
        <w:rPr>
          <w:sz w:val="28"/>
          <w:szCs w:val="28"/>
        </w:rPr>
        <w:t>/</w:t>
      </w:r>
      <w:r>
        <w:rPr>
          <w:rFonts w:hint="eastAsia" w:cs="楷体"/>
          <w:sz w:val="28"/>
          <w:szCs w:val="28"/>
        </w:rPr>
        <w:t xml:space="preserve">通知提醒学员学习； </w:t>
      </w:r>
    </w:p>
    <w:p>
      <w:pPr>
        <w:spacing w:line="276" w:lineRule="auto"/>
        <w:ind w:firstLine="560" w:firstLineChars="200"/>
        <w:rPr>
          <w:rFonts w:cs="楷体"/>
          <w:sz w:val="28"/>
          <w:szCs w:val="28"/>
        </w:rPr>
      </w:pPr>
      <w:r>
        <w:rPr>
          <w:rFonts w:hint="eastAsia" w:cs="楷体"/>
          <w:sz w:val="28"/>
          <w:szCs w:val="28"/>
        </w:rPr>
        <w:t>（3）组织引导学生学习讨论，并及时</w:t>
      </w:r>
      <w:r>
        <w:rPr>
          <w:rFonts w:hint="eastAsia" w:cs="微软雅黑"/>
          <w:bCs/>
          <w:sz w:val="28"/>
          <w:szCs w:val="28"/>
        </w:rPr>
        <w:t>回复</w:t>
      </w:r>
      <w:r>
        <w:rPr>
          <w:rFonts w:hint="eastAsia" w:cs="楷体"/>
          <w:sz w:val="28"/>
          <w:szCs w:val="28"/>
        </w:rPr>
        <w:t>学员学习过程中提出的问题；</w:t>
      </w:r>
    </w:p>
    <w:p>
      <w:pPr>
        <w:spacing w:line="276" w:lineRule="auto"/>
        <w:ind w:firstLine="560" w:firstLineChars="200"/>
        <w:rPr>
          <w:rFonts w:cs="楷体"/>
          <w:sz w:val="28"/>
          <w:szCs w:val="28"/>
        </w:rPr>
      </w:pPr>
      <w:r>
        <w:rPr>
          <w:rFonts w:hint="eastAsia" w:cs="楷体"/>
          <w:sz w:val="28"/>
          <w:szCs w:val="28"/>
        </w:rPr>
        <w:t>（4）及时处理学生成绩相关事宜；</w:t>
      </w:r>
    </w:p>
    <w:p>
      <w:pPr>
        <w:spacing w:line="276" w:lineRule="auto"/>
        <w:ind w:firstLine="560" w:firstLineChars="200"/>
        <w:rPr>
          <w:rFonts w:cs="Times New Roman"/>
          <w:sz w:val="28"/>
          <w:szCs w:val="28"/>
        </w:rPr>
      </w:pPr>
      <w:r>
        <w:rPr>
          <w:rFonts w:hint="eastAsia" w:cs="楷体"/>
          <w:sz w:val="28"/>
          <w:szCs w:val="28"/>
        </w:rPr>
        <w:t>（5）密切跟踪讨论区，防止有害信息通过慕课课程传播。</w:t>
      </w:r>
    </w:p>
    <w:p>
      <w:pPr>
        <w:spacing w:line="560" w:lineRule="exact"/>
        <w:ind w:firstLine="560" w:firstLineChars="200"/>
        <w:rPr>
          <w:sz w:val="28"/>
          <w:szCs w:val="28"/>
        </w:rPr>
      </w:pPr>
    </w:p>
    <w:p>
      <w:pPr>
        <w:spacing w:line="560" w:lineRule="exact"/>
        <w:jc w:val="center"/>
        <w:rPr>
          <w:rFonts w:ascii="黑体" w:hAnsi="黑体" w:eastAsia="黑体"/>
          <w:b/>
          <w:sz w:val="32"/>
          <w:szCs w:val="32"/>
        </w:rPr>
      </w:pPr>
      <w:r>
        <w:rPr>
          <w:rFonts w:hint="eastAsia" w:ascii="黑体" w:hAnsi="黑体" w:eastAsia="黑体"/>
          <w:b/>
          <w:sz w:val="32"/>
          <w:szCs w:val="32"/>
        </w:rPr>
        <w:t>三、基于慕课的线上线下混合式课程基本标准</w:t>
      </w:r>
    </w:p>
    <w:p>
      <w:pPr>
        <w:adjustRightInd w:val="0"/>
        <w:ind w:firstLine="560" w:firstLineChars="200"/>
        <w:rPr>
          <w:sz w:val="28"/>
          <w:szCs w:val="28"/>
        </w:rPr>
      </w:pPr>
    </w:p>
    <w:p>
      <w:pPr>
        <w:adjustRightInd w:val="0"/>
        <w:ind w:firstLine="560" w:firstLineChars="200"/>
        <w:rPr>
          <w:sz w:val="28"/>
          <w:szCs w:val="28"/>
        </w:rPr>
      </w:pPr>
      <w:r>
        <w:rPr>
          <w:rFonts w:hint="eastAsia"/>
          <w:sz w:val="28"/>
          <w:szCs w:val="28"/>
        </w:rPr>
        <w:t>基于慕课的线上线下混合式课程（以下简称为“混合式课程”），是将慕课（含SPOC，即线上网络课堂）与实体课堂（线下学校课堂）有机结合面向高校学生开展教学的课程。混合式课程注重发挥线上和线下两种教学的优势，拓展教和学的时间和空间，关注学习者的个性化学习和多样化发展。</w:t>
      </w:r>
    </w:p>
    <w:p>
      <w:pPr>
        <w:adjustRightInd w:val="0"/>
        <w:ind w:firstLine="560" w:firstLineChars="200"/>
        <w:rPr>
          <w:sz w:val="28"/>
          <w:szCs w:val="28"/>
        </w:rPr>
      </w:pPr>
      <w:r>
        <w:rPr>
          <w:rFonts w:hint="eastAsia"/>
          <w:sz w:val="28"/>
          <w:szCs w:val="28"/>
        </w:rPr>
        <w:t>混合式课程的基本标准如下。</w:t>
      </w:r>
      <w:bookmarkStart w:id="0" w:name="_GoBack"/>
      <w:bookmarkEnd w:id="0"/>
    </w:p>
    <w:p>
      <w:pPr>
        <w:adjustRightInd w:val="0"/>
        <w:ind w:firstLine="562" w:firstLineChars="200"/>
        <w:rPr>
          <w:rFonts w:ascii="黑体" w:hAnsi="黑体" w:eastAsia="黑体"/>
          <w:b/>
          <w:sz w:val="28"/>
          <w:szCs w:val="28"/>
        </w:rPr>
      </w:pPr>
      <w:r>
        <w:rPr>
          <w:rFonts w:hint="eastAsia" w:ascii="黑体" w:hAnsi="黑体" w:eastAsia="黑体"/>
          <w:b/>
          <w:sz w:val="28"/>
          <w:szCs w:val="28"/>
        </w:rPr>
        <w:t>（一）课程定位与价值</w:t>
      </w:r>
    </w:p>
    <w:p>
      <w:pPr>
        <w:adjustRightInd w:val="0"/>
        <w:ind w:firstLine="560" w:firstLineChars="200"/>
        <w:rPr>
          <w:b/>
          <w:sz w:val="28"/>
          <w:szCs w:val="28"/>
        </w:rPr>
      </w:pPr>
      <w:r>
        <w:rPr>
          <w:rFonts w:hint="eastAsia"/>
          <w:sz w:val="28"/>
          <w:szCs w:val="28"/>
        </w:rPr>
        <w:t>关于课程定位与价值的相关表述，应体现在课程大纲中，并在教学设计和教学实施中予以落实。</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w:t>
      </w:r>
      <w:r>
        <w:rPr>
          <w:rFonts w:ascii="黑体" w:hAnsi="黑体" w:eastAsia="黑体"/>
          <w:b/>
          <w:sz w:val="28"/>
          <w:szCs w:val="28"/>
        </w:rPr>
        <w:t>课程价值</w:t>
      </w:r>
      <w:r>
        <w:rPr>
          <w:rFonts w:hint="eastAsia" w:ascii="黑体" w:hAnsi="黑体" w:eastAsia="黑体"/>
          <w:b/>
          <w:sz w:val="28"/>
          <w:szCs w:val="28"/>
        </w:rPr>
        <w:t>。</w:t>
      </w:r>
      <w:r>
        <w:rPr>
          <w:sz w:val="28"/>
          <w:szCs w:val="28"/>
        </w:rPr>
        <w:t>混合式课程是列入学校</w:t>
      </w:r>
      <w:r>
        <w:rPr>
          <w:rFonts w:hint="eastAsia"/>
          <w:sz w:val="28"/>
          <w:szCs w:val="28"/>
        </w:rPr>
        <w:t>人才</w:t>
      </w:r>
      <w:r>
        <w:rPr>
          <w:sz w:val="28"/>
          <w:szCs w:val="28"/>
        </w:rPr>
        <w:t>培养方案</w:t>
      </w:r>
      <w:r>
        <w:rPr>
          <w:rFonts w:hint="eastAsia"/>
          <w:sz w:val="28"/>
          <w:szCs w:val="28"/>
        </w:rPr>
        <w:t>、</w:t>
      </w:r>
      <w:r>
        <w:rPr>
          <w:sz w:val="28"/>
          <w:szCs w:val="28"/>
        </w:rPr>
        <w:t>具有学校认定</w:t>
      </w:r>
      <w:r>
        <w:rPr>
          <w:rFonts w:hint="eastAsia"/>
          <w:sz w:val="28"/>
          <w:szCs w:val="28"/>
        </w:rPr>
        <w:t>学分</w:t>
      </w:r>
      <w:r>
        <w:rPr>
          <w:sz w:val="28"/>
          <w:szCs w:val="28"/>
        </w:rPr>
        <w:t>的课程</w:t>
      </w:r>
      <w:r>
        <w:rPr>
          <w:rFonts w:hint="eastAsia"/>
          <w:sz w:val="28"/>
          <w:szCs w:val="28"/>
        </w:rPr>
        <w:t>，传授学科/</w:t>
      </w:r>
      <w:r>
        <w:rPr>
          <w:sz w:val="28"/>
          <w:szCs w:val="28"/>
        </w:rPr>
        <w:t>领域</w:t>
      </w:r>
      <w:r>
        <w:rPr>
          <w:rFonts w:hint="eastAsia"/>
          <w:sz w:val="28"/>
          <w:szCs w:val="28"/>
        </w:rPr>
        <w:t>知识，培养相关能力。</w:t>
      </w:r>
    </w:p>
    <w:p>
      <w:pPr>
        <w:adjustRightInd w:val="0"/>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．课程理念。</w:t>
      </w:r>
      <w:r>
        <w:rPr>
          <w:rFonts w:hint="eastAsia"/>
          <w:sz w:val="28"/>
          <w:szCs w:val="28"/>
        </w:rPr>
        <w:t>体现“立德树人”“互联网</w:t>
      </w:r>
      <w:r>
        <w:rPr>
          <w:sz w:val="28"/>
          <w:szCs w:val="28"/>
        </w:rPr>
        <w:t>+教育教学”</w:t>
      </w:r>
      <w:r>
        <w:rPr>
          <w:rFonts w:hint="eastAsia"/>
          <w:sz w:val="28"/>
          <w:szCs w:val="28"/>
        </w:rPr>
        <w:t>“以学生为中心”等课程理念。</w:t>
      </w:r>
    </w:p>
    <w:p>
      <w:pPr>
        <w:adjustRightInd w:val="0"/>
        <w:ind w:firstLine="562" w:firstLineChars="200"/>
        <w:rPr>
          <w:rFonts w:cs="楷体"/>
          <w:sz w:val="28"/>
          <w:szCs w:val="28"/>
        </w:rPr>
      </w:pPr>
      <w:r>
        <w:rPr>
          <w:rFonts w:ascii="黑体" w:hAnsi="黑体" w:eastAsia="黑体"/>
          <w:b/>
          <w:sz w:val="28"/>
          <w:szCs w:val="28"/>
        </w:rPr>
        <w:t>3</w:t>
      </w:r>
      <w:r>
        <w:rPr>
          <w:rFonts w:hint="eastAsia" w:ascii="黑体" w:hAnsi="黑体" w:eastAsia="黑体"/>
          <w:b/>
          <w:sz w:val="28"/>
          <w:szCs w:val="28"/>
        </w:rPr>
        <w:t>．教学目标与教学要求。</w:t>
      </w:r>
      <w:r>
        <w:rPr>
          <w:rFonts w:hint="eastAsia"/>
          <w:sz w:val="28"/>
          <w:szCs w:val="28"/>
        </w:rPr>
        <w:t>混合式课程教学目标应与本校人才培养定位、学生学情相适应，</w:t>
      </w:r>
      <w:r>
        <w:rPr>
          <w:rFonts w:hint="eastAsia" w:cs="楷体"/>
          <w:sz w:val="28"/>
          <w:szCs w:val="28"/>
        </w:rPr>
        <w:t>能清晰表述与其他课程的逻辑关系、对学生毕业要求的支撑作用，且能够被分解、被度量。课程总体教学目标能够被分解为每堂课（或教学单元）的教学目标，可以被测量与考核。</w:t>
      </w:r>
    </w:p>
    <w:p>
      <w:pPr>
        <w:adjustRightInd w:val="0"/>
        <w:ind w:firstLine="562" w:firstLineChars="200"/>
        <w:rPr>
          <w:rFonts w:ascii="黑体" w:hAnsi="黑体" w:eastAsia="黑体"/>
          <w:b/>
          <w:sz w:val="28"/>
          <w:szCs w:val="28"/>
        </w:rPr>
      </w:pPr>
      <w:r>
        <w:rPr>
          <w:rFonts w:hint="eastAsia" w:ascii="黑体" w:hAnsi="黑体" w:eastAsia="黑体"/>
          <w:b/>
          <w:sz w:val="28"/>
          <w:szCs w:val="28"/>
        </w:rPr>
        <w:t>（二）慕课运用方式</w:t>
      </w:r>
    </w:p>
    <w:p>
      <w:pPr>
        <w:adjustRightInd w:val="0"/>
        <w:ind w:firstLine="560" w:firstLineChars="200"/>
        <w:rPr>
          <w:sz w:val="28"/>
          <w:szCs w:val="28"/>
        </w:rPr>
      </w:pPr>
      <w:r>
        <w:rPr>
          <w:rFonts w:hint="eastAsia"/>
          <w:sz w:val="28"/>
          <w:szCs w:val="28"/>
        </w:rPr>
        <w:t>混合式课程中慕课运用方式</w:t>
      </w:r>
      <w:r>
        <w:rPr>
          <w:sz w:val="28"/>
          <w:szCs w:val="28"/>
        </w:rPr>
        <w:t>有三种</w:t>
      </w:r>
      <w:r>
        <w:rPr>
          <w:rFonts w:hint="eastAsia"/>
          <w:sz w:val="28"/>
          <w:szCs w:val="28"/>
        </w:rPr>
        <w:t>。</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w:t>
      </w:r>
      <w:r>
        <w:rPr>
          <w:rFonts w:ascii="黑体" w:hAnsi="黑体" w:eastAsia="黑体"/>
          <w:b/>
          <w:sz w:val="28"/>
          <w:szCs w:val="28"/>
        </w:rPr>
        <w:t>基于</w:t>
      </w:r>
      <w:r>
        <w:rPr>
          <w:rFonts w:hint="eastAsia" w:ascii="黑体" w:hAnsi="黑体" w:eastAsia="黑体"/>
          <w:b/>
          <w:sz w:val="28"/>
          <w:szCs w:val="28"/>
        </w:rPr>
        <w:t>慕课</w:t>
      </w:r>
      <w:r>
        <w:rPr>
          <w:rFonts w:ascii="黑体" w:hAnsi="黑体" w:eastAsia="黑体"/>
          <w:b/>
          <w:sz w:val="28"/>
          <w:szCs w:val="28"/>
        </w:rPr>
        <w:t>的线上线下混合式课程</w:t>
      </w:r>
      <w:r>
        <w:rPr>
          <w:rFonts w:hint="eastAsia" w:ascii="黑体" w:hAnsi="黑体" w:eastAsia="黑体"/>
          <w:b/>
          <w:sz w:val="28"/>
          <w:szCs w:val="28"/>
        </w:rPr>
        <w:t>。</w:t>
      </w:r>
      <w:r>
        <w:rPr>
          <w:sz w:val="28"/>
          <w:szCs w:val="28"/>
        </w:rPr>
        <w:t>应用自己建设的</w:t>
      </w:r>
      <w:r>
        <w:rPr>
          <w:rFonts w:hint="eastAsia"/>
          <w:sz w:val="28"/>
          <w:szCs w:val="28"/>
        </w:rPr>
        <w:t>慕课</w:t>
      </w:r>
      <w:r>
        <w:rPr>
          <w:sz w:val="28"/>
          <w:szCs w:val="28"/>
        </w:rPr>
        <w:t>，或</w:t>
      </w:r>
      <w:r>
        <w:rPr>
          <w:rFonts w:hint="eastAsia"/>
          <w:sz w:val="28"/>
          <w:szCs w:val="28"/>
        </w:rPr>
        <w:t>应用</w:t>
      </w:r>
      <w:r>
        <w:rPr>
          <w:sz w:val="28"/>
          <w:szCs w:val="28"/>
        </w:rPr>
        <w:t>经本校认定的</w:t>
      </w:r>
      <w:r>
        <w:rPr>
          <w:rFonts w:hint="eastAsia"/>
          <w:sz w:val="28"/>
          <w:szCs w:val="28"/>
        </w:rPr>
        <w:t>慕课</w:t>
      </w:r>
      <w:r>
        <w:rPr>
          <w:sz w:val="28"/>
          <w:szCs w:val="28"/>
        </w:rPr>
        <w:t>（课程须获得合法授权）</w:t>
      </w:r>
      <w:r>
        <w:rPr>
          <w:rFonts w:hint="eastAsia"/>
          <w:sz w:val="28"/>
          <w:szCs w:val="28"/>
        </w:rPr>
        <w:t>,开展线上线下混合式教学。</w:t>
      </w:r>
    </w:p>
    <w:p>
      <w:pPr>
        <w:adjustRightInd w:val="0"/>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w:t>
      </w:r>
      <w:r>
        <w:rPr>
          <w:rFonts w:ascii="黑体" w:hAnsi="黑体" w:eastAsia="黑体"/>
          <w:b/>
          <w:sz w:val="28"/>
          <w:szCs w:val="28"/>
        </w:rPr>
        <w:t>基于SPOC的线上线下混合式课程</w:t>
      </w:r>
      <w:r>
        <w:rPr>
          <w:rFonts w:hint="eastAsia" w:ascii="黑体" w:hAnsi="黑体" w:eastAsia="黑体"/>
          <w:b/>
          <w:sz w:val="28"/>
          <w:szCs w:val="28"/>
        </w:rPr>
        <w:t>。</w:t>
      </w:r>
      <w:r>
        <w:rPr>
          <w:sz w:val="28"/>
          <w:szCs w:val="28"/>
        </w:rPr>
        <w:t>应用</w:t>
      </w:r>
      <w:r>
        <w:rPr>
          <w:rFonts w:hint="eastAsia"/>
          <w:sz w:val="28"/>
          <w:szCs w:val="28"/>
        </w:rPr>
        <w:t>在慕课平台上</w:t>
      </w:r>
      <w:r>
        <w:rPr>
          <w:sz w:val="28"/>
          <w:szCs w:val="28"/>
        </w:rPr>
        <w:t>开设的SPOC，</w:t>
      </w:r>
      <w:r>
        <w:rPr>
          <w:rFonts w:hint="eastAsia"/>
          <w:sz w:val="28"/>
          <w:szCs w:val="28"/>
        </w:rPr>
        <w:t>开展线上线下混合式教学。</w:t>
      </w:r>
      <w:r>
        <w:rPr>
          <w:sz w:val="28"/>
          <w:szCs w:val="28"/>
        </w:rPr>
        <w:t>SPOC除开放</w:t>
      </w:r>
      <w:r>
        <w:rPr>
          <w:rFonts w:hint="eastAsia"/>
          <w:sz w:val="28"/>
          <w:szCs w:val="28"/>
        </w:rPr>
        <w:t>范围</w:t>
      </w:r>
      <w:r>
        <w:rPr>
          <w:sz w:val="28"/>
          <w:szCs w:val="28"/>
        </w:rPr>
        <w:t>受限外，其他方面应符合慕课基本标准</w:t>
      </w:r>
      <w:r>
        <w:rPr>
          <w:rFonts w:hint="eastAsia"/>
          <w:sz w:val="28"/>
          <w:szCs w:val="28"/>
        </w:rPr>
        <w:t>。</w:t>
      </w:r>
    </w:p>
    <w:p>
      <w:pPr>
        <w:adjustRightInd w:val="0"/>
        <w:ind w:firstLine="562" w:firstLineChars="200"/>
        <w:rPr>
          <w:sz w:val="28"/>
          <w:szCs w:val="28"/>
        </w:rPr>
      </w:pPr>
      <w:r>
        <w:rPr>
          <w:rFonts w:ascii="黑体" w:hAnsi="黑体" w:eastAsia="黑体"/>
          <w:b/>
          <w:sz w:val="28"/>
          <w:szCs w:val="28"/>
        </w:rPr>
        <w:t>3</w:t>
      </w:r>
      <w:r>
        <w:rPr>
          <w:rFonts w:hint="eastAsia" w:ascii="黑体" w:hAnsi="黑体" w:eastAsia="黑体"/>
          <w:b/>
          <w:sz w:val="28"/>
          <w:szCs w:val="28"/>
        </w:rPr>
        <w:t>．</w:t>
      </w:r>
      <w:r>
        <w:rPr>
          <w:rFonts w:ascii="黑体" w:hAnsi="黑体" w:eastAsia="黑体"/>
          <w:b/>
          <w:sz w:val="28"/>
          <w:szCs w:val="28"/>
        </w:rPr>
        <w:t>基于MOOC+SPOC的线上线下混合式课程</w:t>
      </w:r>
      <w:r>
        <w:rPr>
          <w:rFonts w:hint="eastAsia" w:ascii="黑体" w:hAnsi="黑体" w:eastAsia="黑体"/>
          <w:b/>
          <w:sz w:val="28"/>
          <w:szCs w:val="28"/>
        </w:rPr>
        <w:t>。</w:t>
      </w:r>
      <w:r>
        <w:rPr>
          <w:sz w:val="28"/>
          <w:szCs w:val="28"/>
        </w:rPr>
        <w:t>应用</w:t>
      </w:r>
      <w:r>
        <w:rPr>
          <w:rFonts w:hint="eastAsia"/>
          <w:sz w:val="28"/>
          <w:szCs w:val="28"/>
        </w:rPr>
        <w:t>MOOC</w:t>
      </w:r>
      <w:r>
        <w:rPr>
          <w:sz w:val="28"/>
          <w:szCs w:val="28"/>
        </w:rPr>
        <w:t>+</w:t>
      </w:r>
      <w:r>
        <w:rPr>
          <w:rFonts w:hint="eastAsia"/>
          <w:sz w:val="28"/>
          <w:szCs w:val="28"/>
        </w:rPr>
        <w:t>S</w:t>
      </w:r>
      <w:r>
        <w:rPr>
          <w:sz w:val="28"/>
          <w:szCs w:val="28"/>
        </w:rPr>
        <w:t>POC</w:t>
      </w:r>
      <w:r>
        <w:rPr>
          <w:rFonts w:hint="eastAsia"/>
          <w:sz w:val="28"/>
          <w:szCs w:val="28"/>
        </w:rPr>
        <w:t>开展线上线下混合式教学，这是将慕课整体嵌入到SPOC中的一种特殊形式，既继承了所关联慕课的所有特性，又能在SPOC中体现出本地化、差异化特性。</w:t>
      </w:r>
    </w:p>
    <w:p>
      <w:pPr>
        <w:adjustRightInd w:val="0"/>
        <w:ind w:firstLine="560" w:firstLineChars="200"/>
        <w:rPr>
          <w:sz w:val="28"/>
          <w:szCs w:val="28"/>
        </w:rPr>
      </w:pPr>
      <w:r>
        <w:rPr>
          <w:rFonts w:hint="eastAsia"/>
          <w:sz w:val="28"/>
          <w:szCs w:val="28"/>
        </w:rPr>
        <w:t>在</w:t>
      </w:r>
      <w:r>
        <w:rPr>
          <w:sz w:val="28"/>
          <w:szCs w:val="28"/>
        </w:rPr>
        <w:t>以上任何一种方式中，</w:t>
      </w:r>
      <w:r>
        <w:rPr>
          <w:rFonts w:hint="eastAsia"/>
          <w:sz w:val="28"/>
          <w:szCs w:val="28"/>
        </w:rPr>
        <w:t>混合式课程所依托的慕课或</w:t>
      </w:r>
      <w:r>
        <w:rPr>
          <w:sz w:val="28"/>
          <w:szCs w:val="28"/>
        </w:rPr>
        <w:t>开设的SPOC</w:t>
      </w:r>
      <w:r>
        <w:rPr>
          <w:rFonts w:hint="eastAsia"/>
          <w:sz w:val="28"/>
          <w:szCs w:val="28"/>
        </w:rPr>
        <w:t>应符合慕课基本标准（参见本指南的“二、慕课基本标准</w:t>
      </w:r>
      <w:r>
        <w:rPr>
          <w:sz w:val="28"/>
          <w:szCs w:val="28"/>
        </w:rPr>
        <w:t>”</w:t>
      </w:r>
      <w:r>
        <w:rPr>
          <w:rFonts w:hint="eastAsia"/>
          <w:sz w:val="28"/>
          <w:szCs w:val="28"/>
        </w:rPr>
        <w:t>），鼓励采用精品慕课（参见本指南的“五、精品慕课评价参考准则</w:t>
      </w:r>
      <w:r>
        <w:rPr>
          <w:sz w:val="28"/>
          <w:szCs w:val="28"/>
        </w:rPr>
        <w:t>”</w:t>
      </w:r>
      <w:r>
        <w:rPr>
          <w:rFonts w:hint="eastAsia"/>
          <w:sz w:val="28"/>
          <w:szCs w:val="28"/>
        </w:rPr>
        <w:t>）。</w:t>
      </w:r>
    </w:p>
    <w:p>
      <w:pPr>
        <w:adjustRightInd w:val="0"/>
        <w:ind w:firstLine="560" w:firstLineChars="200"/>
        <w:rPr>
          <w:sz w:val="28"/>
          <w:szCs w:val="28"/>
        </w:rPr>
      </w:pPr>
      <w:r>
        <w:rPr>
          <w:rFonts w:hint="eastAsia"/>
          <w:sz w:val="28"/>
          <w:szCs w:val="28"/>
        </w:rPr>
        <w:t>混合式课程应提供适用于本校学生的特色化教学视频、在线作业、在线测验、在线讨论等；应有相对完整的学生学习活动与过程数据。学生线上自主学习的时间占教学时间的比例建议为</w:t>
      </w:r>
      <w:r>
        <w:rPr>
          <w:sz w:val="28"/>
          <w:szCs w:val="28"/>
        </w:rPr>
        <w:t>20%</w:t>
      </w:r>
      <w:r>
        <w:rPr>
          <w:rFonts w:hint="eastAsia"/>
          <w:sz w:val="28"/>
          <w:szCs w:val="28"/>
        </w:rPr>
        <w:t>～</w:t>
      </w:r>
      <w:r>
        <w:rPr>
          <w:sz w:val="28"/>
          <w:szCs w:val="28"/>
        </w:rPr>
        <w:t>50%</w:t>
      </w:r>
      <w:r>
        <w:rPr>
          <w:rFonts w:hint="eastAsia"/>
          <w:sz w:val="28"/>
          <w:szCs w:val="28"/>
        </w:rPr>
        <w:t>。学生的</w:t>
      </w:r>
      <w:r>
        <w:rPr>
          <w:sz w:val="28"/>
          <w:szCs w:val="28"/>
        </w:rPr>
        <w:t>慕课或</w:t>
      </w:r>
      <w:r>
        <w:rPr>
          <w:rFonts w:hint="eastAsia"/>
          <w:sz w:val="28"/>
          <w:szCs w:val="28"/>
        </w:rPr>
        <w:t>SPOC学习成绩在混合式课程总成绩中的比例建议为10%～70%。</w:t>
      </w:r>
    </w:p>
    <w:p>
      <w:pPr>
        <w:adjustRightInd w:val="0"/>
        <w:ind w:firstLine="562" w:firstLineChars="200"/>
        <w:rPr>
          <w:rFonts w:ascii="黑体" w:hAnsi="黑体" w:eastAsia="黑体"/>
          <w:b/>
          <w:sz w:val="28"/>
          <w:szCs w:val="28"/>
        </w:rPr>
      </w:pPr>
      <w:r>
        <w:rPr>
          <w:rFonts w:hint="eastAsia" w:ascii="黑体" w:hAnsi="黑体" w:eastAsia="黑体"/>
          <w:b/>
          <w:sz w:val="28"/>
          <w:szCs w:val="28"/>
        </w:rPr>
        <w:t>（三）混合式教学设计</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w:t>
      </w:r>
      <w:r>
        <w:rPr>
          <w:rFonts w:ascii="黑体" w:hAnsi="黑体" w:eastAsia="黑体"/>
          <w:b/>
          <w:sz w:val="28"/>
          <w:szCs w:val="28"/>
        </w:rPr>
        <w:t>课程内容设计</w:t>
      </w:r>
      <w:r>
        <w:rPr>
          <w:rFonts w:hint="eastAsia" w:ascii="黑体" w:hAnsi="黑体" w:eastAsia="黑体"/>
          <w:sz w:val="28"/>
          <w:szCs w:val="28"/>
        </w:rPr>
        <w:t>。</w:t>
      </w:r>
      <w:r>
        <w:rPr>
          <w:rFonts w:hint="eastAsia"/>
          <w:sz w:val="28"/>
          <w:szCs w:val="28"/>
        </w:rPr>
        <w:t>混合式课程应结合本校人才培养定位以及互联网+教育等先进理念，围绕课程目标和本校学情，精选课程内容。</w:t>
      </w:r>
    </w:p>
    <w:p>
      <w:pPr>
        <w:adjustRightInd w:val="0"/>
        <w:ind w:firstLine="562" w:firstLineChars="200"/>
        <w:rPr>
          <w:sz w:val="28"/>
          <w:szCs w:val="28"/>
        </w:rPr>
      </w:pPr>
      <w:r>
        <w:rPr>
          <w:rFonts w:hint="eastAsia" w:ascii="黑体" w:hAnsi="黑体" w:eastAsia="黑体"/>
          <w:b/>
          <w:sz w:val="28"/>
          <w:szCs w:val="28"/>
        </w:rPr>
        <w:t>2．</w:t>
      </w:r>
      <w:r>
        <w:rPr>
          <w:rFonts w:ascii="黑体" w:hAnsi="黑体" w:eastAsia="黑体"/>
          <w:b/>
          <w:sz w:val="28"/>
          <w:szCs w:val="28"/>
        </w:rPr>
        <w:t>教学方法设计</w:t>
      </w:r>
      <w:r>
        <w:rPr>
          <w:rFonts w:hint="eastAsia"/>
          <w:sz w:val="28"/>
          <w:szCs w:val="28"/>
        </w:rPr>
        <w:t>。混合式课程应结合本校学生学习基础，将实体课堂不容易理解、不容易掌握的内容，借助慕课来展现，增强学习</w:t>
      </w:r>
      <w:r>
        <w:rPr>
          <w:sz w:val="28"/>
          <w:szCs w:val="28"/>
        </w:rPr>
        <w:t>效果</w:t>
      </w:r>
      <w:r>
        <w:rPr>
          <w:rFonts w:hint="eastAsia"/>
          <w:sz w:val="28"/>
          <w:szCs w:val="28"/>
        </w:rPr>
        <w:t>。对引进的慕课内容，做好本地化、差异化、个性化，以更适合本校学生。对实体课堂，在慕课的支持下，可以更多地采用不同于传统的“教师讲学生听”的教学形式，强化学生学的效果。</w:t>
      </w:r>
    </w:p>
    <w:p>
      <w:pPr>
        <w:adjustRightInd w:val="0"/>
        <w:ind w:firstLine="562" w:firstLineChars="200"/>
        <w:rPr>
          <w:sz w:val="28"/>
          <w:szCs w:val="28"/>
        </w:rPr>
      </w:pPr>
      <w:r>
        <w:rPr>
          <w:rFonts w:hint="eastAsia" w:ascii="黑体" w:hAnsi="黑体" w:eastAsia="黑体"/>
          <w:b/>
          <w:sz w:val="28"/>
          <w:szCs w:val="28"/>
        </w:rPr>
        <w:t>3．</w:t>
      </w:r>
      <w:r>
        <w:rPr>
          <w:rFonts w:ascii="黑体" w:hAnsi="黑体" w:eastAsia="黑体"/>
          <w:b/>
          <w:sz w:val="28"/>
          <w:szCs w:val="28"/>
        </w:rPr>
        <w:t>教学活动</w:t>
      </w:r>
      <w:r>
        <w:rPr>
          <w:rFonts w:hint="eastAsia" w:ascii="黑体" w:hAnsi="黑体" w:eastAsia="黑体"/>
          <w:b/>
          <w:sz w:val="28"/>
          <w:szCs w:val="28"/>
        </w:rPr>
        <w:t>设计</w:t>
      </w:r>
      <w:r>
        <w:rPr>
          <w:rFonts w:hint="eastAsia"/>
          <w:sz w:val="28"/>
          <w:szCs w:val="28"/>
        </w:rPr>
        <w:t>。混合式课程应</w:t>
      </w:r>
      <w:r>
        <w:rPr>
          <w:sz w:val="28"/>
          <w:szCs w:val="28"/>
        </w:rPr>
        <w:t>尽量</w:t>
      </w:r>
      <w:r>
        <w:rPr>
          <w:rFonts w:hint="eastAsia"/>
          <w:sz w:val="28"/>
          <w:szCs w:val="28"/>
        </w:rPr>
        <w:t>引入使学生主动参与</w:t>
      </w:r>
      <w:r>
        <w:rPr>
          <w:sz w:val="28"/>
          <w:szCs w:val="28"/>
        </w:rPr>
        <w:t>的</w:t>
      </w:r>
      <w:r>
        <w:rPr>
          <w:rFonts w:hint="eastAsia"/>
          <w:sz w:val="28"/>
          <w:szCs w:val="28"/>
        </w:rPr>
        <w:t>学习活动。鼓励“</w:t>
      </w:r>
      <w:r>
        <w:rPr>
          <w:sz w:val="28"/>
          <w:szCs w:val="28"/>
        </w:rPr>
        <w:t>大班</w:t>
      </w:r>
      <w:r>
        <w:rPr>
          <w:rFonts w:hint="eastAsia"/>
          <w:sz w:val="28"/>
          <w:szCs w:val="28"/>
        </w:rPr>
        <w:t>讲授+</w:t>
      </w:r>
      <w:r>
        <w:rPr>
          <w:sz w:val="28"/>
          <w:szCs w:val="28"/>
        </w:rPr>
        <w:t>小班</w:t>
      </w:r>
      <w:r>
        <w:rPr>
          <w:rFonts w:hint="eastAsia"/>
          <w:sz w:val="28"/>
          <w:szCs w:val="28"/>
        </w:rPr>
        <w:t>翻转”相结合的实体课堂教学模式。充分考虑学生在线学习和实体课堂学习的负荷，合理设计各种学习活动。</w:t>
      </w:r>
      <w:r>
        <w:rPr>
          <w:rFonts w:hint="eastAsia" w:ascii="黑体" w:hAnsi="黑体" w:eastAsia="黑体"/>
          <w:b/>
          <w:sz w:val="28"/>
          <w:szCs w:val="28"/>
        </w:rPr>
        <w:t>在校学生实体课堂参与学时原则上不低于总学时的30%。</w:t>
      </w:r>
    </w:p>
    <w:p>
      <w:pPr>
        <w:adjustRightInd w:val="0"/>
        <w:ind w:firstLine="562" w:firstLineChars="200"/>
        <w:rPr>
          <w:sz w:val="28"/>
          <w:szCs w:val="28"/>
        </w:rPr>
      </w:pPr>
      <w:r>
        <w:rPr>
          <w:rFonts w:hint="eastAsia" w:ascii="黑体" w:hAnsi="黑体" w:eastAsia="黑体"/>
          <w:b/>
          <w:sz w:val="28"/>
          <w:szCs w:val="28"/>
        </w:rPr>
        <w:t>4．</w:t>
      </w:r>
      <w:r>
        <w:rPr>
          <w:rFonts w:ascii="黑体" w:hAnsi="黑体" w:eastAsia="黑体"/>
          <w:b/>
          <w:sz w:val="28"/>
          <w:szCs w:val="28"/>
        </w:rPr>
        <w:t>考核评价设计</w:t>
      </w:r>
      <w:r>
        <w:rPr>
          <w:rFonts w:hint="eastAsia"/>
          <w:sz w:val="28"/>
          <w:szCs w:val="28"/>
        </w:rPr>
        <w:t>。混合式课程考核评价宜实施过程化、个性化、累加式考核。鼓励线上考核与线下考核结合，有监督考核和无监督考核相结合，试卷考核与翻转考核结合，各种考核成绩比例合理。</w:t>
      </w:r>
    </w:p>
    <w:p>
      <w:pPr>
        <w:adjustRightInd w:val="0"/>
        <w:ind w:firstLine="562" w:firstLineChars="200"/>
        <w:rPr>
          <w:rFonts w:ascii="黑体" w:hAnsi="黑体" w:eastAsia="黑体"/>
          <w:b/>
          <w:sz w:val="28"/>
          <w:szCs w:val="28"/>
        </w:rPr>
      </w:pPr>
      <w:r>
        <w:rPr>
          <w:rFonts w:hint="eastAsia" w:ascii="黑体" w:hAnsi="黑体" w:eastAsia="黑体"/>
          <w:b/>
          <w:sz w:val="28"/>
          <w:szCs w:val="28"/>
        </w:rPr>
        <w:t>（四）混合式教学实施</w:t>
      </w:r>
    </w:p>
    <w:p>
      <w:pPr>
        <w:adjustRightInd w:val="0"/>
        <w:ind w:firstLine="560" w:firstLineChars="200"/>
        <w:rPr>
          <w:sz w:val="28"/>
          <w:szCs w:val="28"/>
        </w:rPr>
      </w:pPr>
      <w:r>
        <w:rPr>
          <w:rFonts w:hint="eastAsia"/>
          <w:sz w:val="28"/>
          <w:szCs w:val="28"/>
        </w:rPr>
        <w:t>混合式课程应有必要的教学文件，包括但不限于课程大纲、教学设计文件、教学日历、教案（含教学课件）、学生须知（含课程评价标准）、考核试卷与学生成绩单及其分析、特色化教学资源、其他教学活动实施文件等。</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．课程大纲</w:t>
      </w:r>
      <w:r>
        <w:rPr>
          <w:rFonts w:hint="eastAsia"/>
          <w:sz w:val="28"/>
          <w:szCs w:val="28"/>
        </w:rPr>
        <w:t>。参见二、慕课基本标准（一）基本要素</w:t>
      </w:r>
      <w:r>
        <w:rPr>
          <w:sz w:val="28"/>
          <w:szCs w:val="28"/>
        </w:rPr>
        <w:t>2.课程大纲</w:t>
      </w:r>
      <w:r>
        <w:rPr>
          <w:rFonts w:hint="eastAsia"/>
          <w:sz w:val="28"/>
          <w:szCs w:val="28"/>
        </w:rPr>
        <w:t>。</w:t>
      </w:r>
    </w:p>
    <w:p>
      <w:pPr>
        <w:adjustRightInd w:val="0"/>
        <w:ind w:firstLine="562" w:firstLineChars="200"/>
        <w:rPr>
          <w:sz w:val="28"/>
          <w:szCs w:val="28"/>
        </w:rPr>
      </w:pPr>
      <w:r>
        <w:rPr>
          <w:rFonts w:hint="eastAsia" w:ascii="黑体" w:hAnsi="黑体" w:eastAsia="黑体"/>
          <w:b/>
          <w:sz w:val="28"/>
          <w:szCs w:val="28"/>
        </w:rPr>
        <w:t>2．教学设计文件</w:t>
      </w:r>
      <w:r>
        <w:rPr>
          <w:rFonts w:hint="eastAsia"/>
          <w:sz w:val="28"/>
          <w:szCs w:val="28"/>
        </w:rPr>
        <w:t>。体现前述（三）混合式教学设计的相关文件。</w:t>
      </w:r>
    </w:p>
    <w:p>
      <w:pPr>
        <w:adjustRightInd w:val="0"/>
        <w:ind w:firstLine="562" w:firstLineChars="200"/>
        <w:rPr>
          <w:sz w:val="28"/>
          <w:szCs w:val="28"/>
        </w:rPr>
      </w:pPr>
      <w:r>
        <w:rPr>
          <w:rFonts w:hint="eastAsia" w:ascii="黑体" w:hAnsi="黑体" w:eastAsia="黑体"/>
          <w:b/>
          <w:sz w:val="28"/>
          <w:szCs w:val="28"/>
        </w:rPr>
        <w:t>3．教学日历。</w:t>
      </w:r>
      <w:r>
        <w:rPr>
          <w:rFonts w:hint="eastAsia"/>
          <w:sz w:val="28"/>
          <w:szCs w:val="28"/>
        </w:rPr>
        <w:t>混合式课程教学日历应</w:t>
      </w:r>
      <w:r>
        <w:rPr>
          <w:sz w:val="28"/>
          <w:szCs w:val="28"/>
        </w:rPr>
        <w:t>体现课程教学进度</w:t>
      </w:r>
      <w:r>
        <w:rPr>
          <w:rFonts w:hint="eastAsia"/>
          <w:sz w:val="28"/>
          <w:szCs w:val="28"/>
        </w:rPr>
        <w:t>与</w:t>
      </w:r>
      <w:r>
        <w:rPr>
          <w:sz w:val="28"/>
          <w:szCs w:val="28"/>
        </w:rPr>
        <w:t>学时安排，</w:t>
      </w:r>
      <w:r>
        <w:rPr>
          <w:rFonts w:hint="eastAsia"/>
          <w:sz w:val="28"/>
          <w:szCs w:val="28"/>
        </w:rPr>
        <w:t>建议</w:t>
      </w:r>
      <w:r>
        <w:rPr>
          <w:sz w:val="28"/>
          <w:szCs w:val="28"/>
        </w:rPr>
        <w:t>以2</w:t>
      </w:r>
      <w:r>
        <w:rPr>
          <w:rFonts w:hint="eastAsia"/>
          <w:sz w:val="28"/>
          <w:szCs w:val="28"/>
        </w:rPr>
        <w:t>～4</w:t>
      </w:r>
      <w:r>
        <w:rPr>
          <w:sz w:val="28"/>
          <w:szCs w:val="28"/>
        </w:rPr>
        <w:t>学时为基本单位列出学生应掌握的学习内容</w:t>
      </w:r>
      <w:r>
        <w:rPr>
          <w:rFonts w:hint="eastAsia"/>
          <w:sz w:val="28"/>
          <w:szCs w:val="28"/>
        </w:rPr>
        <w:t>与学习方式,</w:t>
      </w:r>
      <w:r>
        <w:rPr>
          <w:rFonts w:hint="eastAsia"/>
        </w:rPr>
        <w:t xml:space="preserve"> </w:t>
      </w:r>
      <w:r>
        <w:rPr>
          <w:rFonts w:hint="eastAsia"/>
          <w:sz w:val="28"/>
          <w:szCs w:val="28"/>
        </w:rPr>
        <w:t>标记清楚（</w:t>
      </w:r>
      <w:r>
        <w:rPr>
          <w:sz w:val="28"/>
          <w:szCs w:val="28"/>
        </w:rPr>
        <w:t>1）教学内容，（2）大班课堂还是小班课堂，（3）线上学时和课堂学时，其中线上学时以需要学生观看的视频时长为准</w:t>
      </w:r>
      <w:r>
        <w:rPr>
          <w:rFonts w:hint="eastAsia"/>
          <w:sz w:val="28"/>
          <w:szCs w:val="28"/>
        </w:rPr>
        <w:t>。</w:t>
      </w:r>
    </w:p>
    <w:p>
      <w:pPr>
        <w:adjustRightInd w:val="0"/>
        <w:ind w:firstLine="562" w:firstLineChars="200"/>
        <w:rPr>
          <w:sz w:val="28"/>
          <w:szCs w:val="28"/>
        </w:rPr>
      </w:pPr>
      <w:r>
        <w:rPr>
          <w:rFonts w:hint="eastAsia" w:ascii="黑体" w:hAnsi="黑体" w:eastAsia="黑体"/>
          <w:b/>
          <w:sz w:val="28"/>
          <w:szCs w:val="28"/>
        </w:rPr>
        <w:t>4．教案（含教学课件）</w:t>
      </w:r>
      <w:r>
        <w:rPr>
          <w:rFonts w:hint="eastAsia"/>
          <w:sz w:val="28"/>
          <w:szCs w:val="28"/>
        </w:rPr>
        <w:t>。符合教案基本规范的课程教案，含教学课件（或课堂教学板书设计），教学内容讲授次序和方法，重难点内容教学方法等。</w:t>
      </w:r>
    </w:p>
    <w:p>
      <w:pPr>
        <w:adjustRightInd w:val="0"/>
        <w:ind w:firstLine="562" w:firstLineChars="200"/>
        <w:rPr>
          <w:sz w:val="28"/>
          <w:szCs w:val="28"/>
        </w:rPr>
      </w:pPr>
      <w:r>
        <w:rPr>
          <w:rFonts w:hint="eastAsia" w:ascii="黑体" w:hAnsi="黑体" w:eastAsia="黑体"/>
          <w:b/>
          <w:sz w:val="28"/>
          <w:szCs w:val="28"/>
        </w:rPr>
        <w:t>5．学生须知文件</w:t>
      </w:r>
      <w:r>
        <w:rPr>
          <w:rFonts w:hint="eastAsia"/>
          <w:sz w:val="28"/>
          <w:szCs w:val="28"/>
        </w:rPr>
        <w:t>（含课程评价标准）</w:t>
      </w:r>
      <w:r>
        <w:rPr>
          <w:rFonts w:hint="eastAsia" w:ascii="黑体" w:hAnsi="黑体" w:eastAsia="黑体"/>
          <w:b/>
          <w:sz w:val="28"/>
          <w:szCs w:val="28"/>
        </w:rPr>
        <w:t>。</w:t>
      </w:r>
      <w:r>
        <w:rPr>
          <w:rFonts w:hint="eastAsia"/>
          <w:sz w:val="28"/>
          <w:szCs w:val="28"/>
        </w:rPr>
        <w:t>对于混合式课程，由于学生学习渠道的多元化及评价方式的多样化，任课教师应提供学生须知文件，明确告知学生本课程的学习内容、学习资源获取渠道、学习要求、教学进程、作业评价标准、成绩获取途径与成绩构成等，尤其应为学生提供慕课或</w:t>
      </w:r>
      <w:r>
        <w:rPr>
          <w:sz w:val="28"/>
          <w:szCs w:val="28"/>
        </w:rPr>
        <w:t>SPOC学习内容及成绩获取方法的说明</w:t>
      </w:r>
      <w:r>
        <w:rPr>
          <w:rFonts w:hint="eastAsia"/>
          <w:sz w:val="28"/>
          <w:szCs w:val="28"/>
        </w:rPr>
        <w:t>。</w:t>
      </w:r>
    </w:p>
    <w:p>
      <w:pPr>
        <w:adjustRightInd w:val="0"/>
        <w:ind w:firstLine="562" w:firstLineChars="200"/>
        <w:rPr>
          <w:sz w:val="28"/>
          <w:szCs w:val="28"/>
        </w:rPr>
      </w:pPr>
      <w:r>
        <w:rPr>
          <w:rFonts w:hint="eastAsia" w:ascii="黑体" w:hAnsi="黑体" w:eastAsia="黑体"/>
          <w:b/>
          <w:sz w:val="28"/>
          <w:szCs w:val="28"/>
        </w:rPr>
        <w:t>6．考核试卷与学生成绩单及其分析。</w:t>
      </w:r>
      <w:r>
        <w:rPr>
          <w:sz w:val="28"/>
          <w:szCs w:val="28"/>
        </w:rPr>
        <w:t>体现混合式教学</w:t>
      </w:r>
      <w:r>
        <w:rPr>
          <w:rFonts w:hint="eastAsia"/>
          <w:sz w:val="28"/>
          <w:szCs w:val="28"/>
        </w:rPr>
        <w:t>考核评价</w:t>
      </w:r>
      <w:r>
        <w:rPr>
          <w:sz w:val="28"/>
          <w:szCs w:val="28"/>
        </w:rPr>
        <w:t>的</w:t>
      </w:r>
      <w:r>
        <w:rPr>
          <w:rFonts w:hint="eastAsia"/>
          <w:sz w:val="28"/>
          <w:szCs w:val="28"/>
        </w:rPr>
        <w:t>试卷、</w:t>
      </w:r>
      <w:r>
        <w:rPr>
          <w:sz w:val="28"/>
          <w:szCs w:val="28"/>
        </w:rPr>
        <w:t>学生成绩单</w:t>
      </w:r>
      <w:r>
        <w:rPr>
          <w:rFonts w:hint="eastAsia"/>
          <w:sz w:val="28"/>
          <w:szCs w:val="28"/>
        </w:rPr>
        <w:t>及其分析。</w:t>
      </w:r>
    </w:p>
    <w:p>
      <w:pPr>
        <w:adjustRightInd w:val="0"/>
        <w:ind w:firstLine="562" w:firstLineChars="200"/>
        <w:rPr>
          <w:sz w:val="28"/>
          <w:szCs w:val="28"/>
        </w:rPr>
      </w:pPr>
      <w:r>
        <w:rPr>
          <w:rFonts w:hint="eastAsia" w:ascii="黑体" w:hAnsi="黑体" w:eastAsia="黑体"/>
          <w:b/>
          <w:sz w:val="28"/>
          <w:szCs w:val="28"/>
        </w:rPr>
        <w:t>7．特色化教学资源。</w:t>
      </w:r>
      <w:r>
        <w:rPr>
          <w:rFonts w:hint="eastAsia"/>
          <w:sz w:val="28"/>
          <w:szCs w:val="28"/>
        </w:rPr>
        <w:t>对引进慕课做本地化改进的特色化教学资源，包括教学短视频、练习题、讨论话题、导学/辅导文档等。</w:t>
      </w:r>
    </w:p>
    <w:p>
      <w:pPr>
        <w:adjustRightInd w:val="0"/>
        <w:ind w:firstLine="562" w:firstLineChars="200"/>
        <w:rPr>
          <w:sz w:val="28"/>
          <w:szCs w:val="28"/>
        </w:rPr>
      </w:pPr>
      <w:r>
        <w:rPr>
          <w:rFonts w:hint="eastAsia" w:ascii="黑体" w:hAnsi="黑体" w:eastAsia="黑体"/>
          <w:b/>
          <w:sz w:val="28"/>
          <w:szCs w:val="28"/>
        </w:rPr>
        <w:t>8．其他</w:t>
      </w:r>
      <w:r>
        <w:rPr>
          <w:rFonts w:ascii="黑体" w:hAnsi="黑体" w:eastAsia="黑体"/>
          <w:b/>
          <w:sz w:val="28"/>
          <w:szCs w:val="28"/>
        </w:rPr>
        <w:t>教学活动</w:t>
      </w:r>
      <w:r>
        <w:rPr>
          <w:rFonts w:hint="eastAsia" w:ascii="黑体" w:hAnsi="黑体" w:eastAsia="黑体"/>
          <w:b/>
          <w:sz w:val="28"/>
          <w:szCs w:val="28"/>
        </w:rPr>
        <w:t>实施文件。</w:t>
      </w:r>
      <w:r>
        <w:rPr>
          <w:rFonts w:hint="eastAsia"/>
          <w:sz w:val="28"/>
          <w:szCs w:val="28"/>
        </w:rPr>
        <w:t>体现教学活动实施的过程性记录文件，如学习任务布置单、学习过程与结果记录单、学生互动记录单、学生互评成绩单等。</w:t>
      </w:r>
      <w:r>
        <w:rPr>
          <w:sz w:val="28"/>
          <w:szCs w:val="28"/>
        </w:rPr>
        <w:t>教学讨论话题集及讨论过程</w:t>
      </w:r>
      <w:r>
        <w:rPr>
          <w:rFonts w:hint="eastAsia"/>
          <w:sz w:val="28"/>
          <w:szCs w:val="28"/>
        </w:rPr>
        <w:t>数据、学生作业与测试等在线学习数据</w:t>
      </w:r>
      <w:r>
        <w:rPr>
          <w:sz w:val="28"/>
          <w:szCs w:val="28"/>
        </w:rPr>
        <w:t>,</w:t>
      </w:r>
      <w:r>
        <w:rPr>
          <w:rFonts w:hint="eastAsia"/>
          <w:sz w:val="28"/>
          <w:szCs w:val="28"/>
        </w:rPr>
        <w:t>由线上学习系统或工具提供。</w:t>
      </w:r>
    </w:p>
    <w:p>
      <w:pPr>
        <w:spacing w:line="276" w:lineRule="auto"/>
        <w:ind w:firstLine="562" w:firstLineChars="200"/>
        <w:rPr>
          <w:sz w:val="28"/>
          <w:szCs w:val="28"/>
        </w:rPr>
      </w:pPr>
      <w:r>
        <w:rPr>
          <w:rFonts w:hint="eastAsia" w:ascii="黑体" w:hAnsi="黑体" w:eastAsia="黑体"/>
          <w:b/>
          <w:sz w:val="28"/>
          <w:szCs w:val="28"/>
        </w:rPr>
        <w:t>（五）课程教学团队与教学服务</w:t>
      </w:r>
    </w:p>
    <w:p>
      <w:pPr>
        <w:spacing w:line="276" w:lineRule="auto"/>
        <w:ind w:left="140" w:firstLine="420"/>
        <w:rPr>
          <w:rFonts w:cs="楷体"/>
          <w:sz w:val="28"/>
          <w:szCs w:val="28"/>
        </w:rPr>
      </w:pPr>
      <w:r>
        <w:rPr>
          <w:rFonts w:hint="eastAsia" w:cs="楷体"/>
          <w:sz w:val="28"/>
          <w:szCs w:val="28"/>
        </w:rPr>
        <w:t>教学团队以实体课堂教师为主，鼓励由慕课主讲教师、SPOC主讲教师和实体课堂教师联合组成，既有关注“如何教”的教师，又有关注“如何学”的教师，还有关注“学生支持服务”的教师。教师团队应尽可能为学生提供线上线下的教学服务，包括但不限于：</w:t>
      </w:r>
    </w:p>
    <w:p>
      <w:pPr>
        <w:spacing w:line="276" w:lineRule="auto"/>
        <w:ind w:left="140" w:firstLine="420"/>
        <w:rPr>
          <w:rFonts w:cs="Times New Roman"/>
          <w:sz w:val="28"/>
          <w:szCs w:val="28"/>
        </w:rPr>
      </w:pPr>
      <w:r>
        <w:rPr>
          <w:rFonts w:hint="eastAsia" w:cs="楷体"/>
          <w:sz w:val="28"/>
          <w:szCs w:val="28"/>
        </w:rPr>
        <w:t>（</w:t>
      </w:r>
      <w:r>
        <w:rPr>
          <w:rFonts w:cs="楷体"/>
          <w:sz w:val="28"/>
          <w:szCs w:val="28"/>
        </w:rPr>
        <w:t>1）</w:t>
      </w:r>
      <w:r>
        <w:rPr>
          <w:rFonts w:hint="eastAsia" w:cs="楷体"/>
          <w:sz w:val="28"/>
          <w:szCs w:val="28"/>
        </w:rPr>
        <w:t>线上和线下相结合的讨论组织与答疑服务</w:t>
      </w:r>
      <w:r>
        <w:rPr>
          <w:rFonts w:hint="eastAsia"/>
          <w:sz w:val="28"/>
          <w:szCs w:val="28"/>
        </w:rPr>
        <w:t>；</w:t>
      </w:r>
    </w:p>
    <w:p>
      <w:pPr>
        <w:spacing w:line="276" w:lineRule="auto"/>
        <w:ind w:left="140" w:firstLine="420"/>
        <w:rPr>
          <w:rFonts w:cs="楷体"/>
          <w:sz w:val="28"/>
          <w:szCs w:val="28"/>
        </w:rPr>
      </w:pPr>
      <w:r>
        <w:rPr>
          <w:rFonts w:hint="eastAsia" w:cs="楷体"/>
          <w:sz w:val="28"/>
          <w:szCs w:val="28"/>
        </w:rPr>
        <w:t>（2）线上和线下相结合的测试/评价服务；</w:t>
      </w:r>
    </w:p>
    <w:p>
      <w:pPr>
        <w:spacing w:line="276" w:lineRule="auto"/>
        <w:ind w:left="140" w:firstLine="420"/>
        <w:rPr>
          <w:rFonts w:cs="楷体"/>
          <w:sz w:val="28"/>
          <w:szCs w:val="28"/>
        </w:rPr>
      </w:pPr>
      <w:r>
        <w:rPr>
          <w:rFonts w:hint="eastAsia" w:cs="楷体"/>
          <w:sz w:val="28"/>
          <w:szCs w:val="28"/>
        </w:rPr>
        <w:t>（3）相对充足的辅助教学资源，如阅读材料等。</w:t>
      </w:r>
    </w:p>
    <w:p>
      <w:pPr>
        <w:adjustRightInd w:val="0"/>
        <w:ind w:firstLine="562" w:firstLineChars="200"/>
        <w:rPr>
          <w:rFonts w:ascii="黑体" w:hAnsi="黑体" w:eastAsia="黑体"/>
          <w:b/>
          <w:sz w:val="28"/>
          <w:szCs w:val="28"/>
        </w:rPr>
      </w:pPr>
      <w:r>
        <w:rPr>
          <w:rFonts w:hint="eastAsia" w:ascii="黑体" w:hAnsi="黑体" w:eastAsia="黑体"/>
          <w:b/>
          <w:sz w:val="28"/>
          <w:szCs w:val="28"/>
        </w:rPr>
        <w:t>（六）混合式</w:t>
      </w:r>
      <w:r>
        <w:rPr>
          <w:rFonts w:ascii="黑体" w:hAnsi="黑体" w:eastAsia="黑体"/>
          <w:b/>
          <w:sz w:val="28"/>
          <w:szCs w:val="28"/>
        </w:rPr>
        <w:t>课程评价</w:t>
      </w:r>
    </w:p>
    <w:p>
      <w:pPr>
        <w:adjustRightInd w:val="0"/>
        <w:ind w:firstLine="560" w:firstLineChars="200"/>
        <w:rPr>
          <w:sz w:val="28"/>
          <w:szCs w:val="28"/>
        </w:rPr>
      </w:pPr>
      <w:r>
        <w:rPr>
          <w:rFonts w:hint="eastAsia"/>
          <w:sz w:val="28"/>
          <w:szCs w:val="28"/>
        </w:rPr>
        <w:t>能够在本校开展多期混合式课程教学，</w:t>
      </w:r>
      <w:r>
        <w:rPr>
          <w:sz w:val="28"/>
          <w:szCs w:val="28"/>
        </w:rPr>
        <w:t>积累</w:t>
      </w:r>
      <w:r>
        <w:rPr>
          <w:rFonts w:hint="eastAsia"/>
          <w:sz w:val="28"/>
          <w:szCs w:val="28"/>
        </w:rPr>
        <w:t>相关</w:t>
      </w:r>
      <w:r>
        <w:rPr>
          <w:sz w:val="28"/>
          <w:szCs w:val="28"/>
        </w:rPr>
        <w:t>的过程数据</w:t>
      </w:r>
      <w:r>
        <w:rPr>
          <w:rFonts w:hint="eastAsia"/>
          <w:sz w:val="28"/>
          <w:szCs w:val="28"/>
        </w:rPr>
        <w:t>。在学生评价及专家评价中</w:t>
      </w:r>
      <w:r>
        <w:rPr>
          <w:sz w:val="28"/>
          <w:szCs w:val="28"/>
        </w:rPr>
        <w:t>获得通过</w:t>
      </w:r>
      <w:r>
        <w:rPr>
          <w:rFonts w:hint="eastAsia"/>
          <w:sz w:val="28"/>
          <w:szCs w:val="28"/>
        </w:rPr>
        <w:t>。</w:t>
      </w:r>
    </w:p>
    <w:p>
      <w:pPr>
        <w:spacing w:line="560" w:lineRule="exact"/>
        <w:ind w:left="140" w:firstLine="420"/>
        <w:rPr>
          <w:sz w:val="28"/>
          <w:szCs w:val="28"/>
        </w:rPr>
      </w:pPr>
    </w:p>
    <w:p>
      <w:pPr>
        <w:spacing w:line="560" w:lineRule="exact"/>
        <w:jc w:val="center"/>
        <w:rPr>
          <w:rFonts w:ascii="黑体" w:hAnsi="黑体" w:eastAsia="黑体"/>
          <w:b/>
          <w:sz w:val="32"/>
          <w:szCs w:val="32"/>
        </w:rPr>
      </w:pPr>
      <w:r>
        <w:rPr>
          <w:rFonts w:hint="eastAsia" w:ascii="黑体" w:hAnsi="黑体" w:eastAsia="黑体"/>
          <w:b/>
          <w:sz w:val="32"/>
          <w:szCs w:val="32"/>
        </w:rPr>
        <w:t>四、慕课平台及服务规范要求</w:t>
      </w:r>
    </w:p>
    <w:p>
      <w:pPr>
        <w:spacing w:line="560" w:lineRule="exact"/>
        <w:jc w:val="center"/>
        <w:rPr>
          <w:rFonts w:ascii="黑体" w:hAnsi="黑体" w:eastAsia="黑体"/>
          <w:b/>
          <w:sz w:val="32"/>
          <w:szCs w:val="32"/>
        </w:rPr>
      </w:pPr>
    </w:p>
    <w:p>
      <w:pPr>
        <w:spacing w:line="560" w:lineRule="exact"/>
        <w:ind w:firstLine="560" w:firstLineChars="200"/>
        <w:rPr>
          <w:sz w:val="28"/>
          <w:szCs w:val="28"/>
        </w:rPr>
      </w:pPr>
      <w:r>
        <w:rPr>
          <w:rFonts w:hint="eastAsia"/>
          <w:sz w:val="28"/>
          <w:szCs w:val="28"/>
        </w:rPr>
        <w:t>本指南所指慕课平台（以下简称平台）是指</w:t>
      </w:r>
      <w:r>
        <w:rPr>
          <w:sz w:val="28"/>
          <w:szCs w:val="28"/>
        </w:rPr>
        <w:t>主要</w:t>
      </w:r>
      <w:r>
        <w:rPr>
          <w:rFonts w:hint="eastAsia"/>
          <w:sz w:val="28"/>
          <w:szCs w:val="28"/>
        </w:rPr>
        <w:t>面向高校慕课</w:t>
      </w:r>
      <w:r>
        <w:rPr>
          <w:sz w:val="28"/>
          <w:szCs w:val="28"/>
        </w:rPr>
        <w:t>教学</w:t>
      </w:r>
      <w:r>
        <w:rPr>
          <w:rFonts w:hint="eastAsia"/>
          <w:sz w:val="28"/>
          <w:szCs w:val="28"/>
        </w:rPr>
        <w:t>提供</w:t>
      </w:r>
      <w:r>
        <w:rPr>
          <w:sz w:val="28"/>
          <w:szCs w:val="28"/>
        </w:rPr>
        <w:t>服务</w:t>
      </w:r>
      <w:r>
        <w:rPr>
          <w:rFonts w:hint="eastAsia"/>
          <w:sz w:val="28"/>
          <w:szCs w:val="28"/>
        </w:rPr>
        <w:t>的</w:t>
      </w:r>
      <w:r>
        <w:rPr>
          <w:sz w:val="28"/>
          <w:szCs w:val="28"/>
        </w:rPr>
        <w:t>平台。</w:t>
      </w:r>
    </w:p>
    <w:p>
      <w:pPr>
        <w:spacing w:line="560" w:lineRule="exact"/>
        <w:ind w:firstLine="560" w:firstLineChars="200"/>
        <w:rPr>
          <w:sz w:val="28"/>
          <w:szCs w:val="28"/>
        </w:rPr>
      </w:pPr>
      <w:r>
        <w:rPr>
          <w:rFonts w:hint="eastAsia"/>
          <w:sz w:val="28"/>
          <w:szCs w:val="28"/>
        </w:rPr>
        <w:t>平台及服务规范要求</w:t>
      </w:r>
      <w:r>
        <w:rPr>
          <w:sz w:val="28"/>
          <w:szCs w:val="28"/>
        </w:rPr>
        <w:t>如下。</w:t>
      </w:r>
    </w:p>
    <w:p>
      <w:pPr>
        <w:spacing w:line="560" w:lineRule="exact"/>
        <w:ind w:firstLine="420"/>
        <w:rPr>
          <w:rFonts w:ascii="黑体" w:hAnsi="黑体" w:eastAsia="黑体"/>
          <w:sz w:val="28"/>
          <w:szCs w:val="28"/>
        </w:rPr>
      </w:pPr>
      <w:r>
        <w:rPr>
          <w:rFonts w:hint="eastAsia" w:ascii="黑体" w:hAnsi="黑体" w:eastAsia="黑体"/>
          <w:sz w:val="28"/>
          <w:szCs w:val="28"/>
        </w:rPr>
        <w:t>（一）管理要求</w:t>
      </w:r>
    </w:p>
    <w:p>
      <w:pPr>
        <w:ind w:firstLine="420"/>
        <w:rPr>
          <w:sz w:val="28"/>
          <w:szCs w:val="28"/>
        </w:rPr>
      </w:pPr>
      <w:r>
        <w:rPr>
          <w:rFonts w:ascii="黑体" w:hAnsi="黑体" w:eastAsia="黑体"/>
          <w:b/>
          <w:sz w:val="28"/>
          <w:szCs w:val="28"/>
        </w:rPr>
        <w:t>1</w:t>
      </w:r>
      <w:r>
        <w:rPr>
          <w:rFonts w:hint="eastAsia" w:ascii="黑体" w:hAnsi="黑体" w:eastAsia="黑体"/>
          <w:b/>
          <w:sz w:val="28"/>
          <w:szCs w:val="28"/>
        </w:rPr>
        <w:t>．资质。</w:t>
      </w:r>
      <w:r>
        <w:rPr>
          <w:rFonts w:hint="eastAsia"/>
          <w:sz w:val="28"/>
          <w:szCs w:val="28"/>
        </w:rPr>
        <w:t>平台应</w:t>
      </w:r>
      <w:r>
        <w:rPr>
          <w:sz w:val="28"/>
          <w:szCs w:val="28"/>
        </w:rPr>
        <w:t>具备国家政策法规规定的</w:t>
      </w:r>
      <w:r>
        <w:rPr>
          <w:rFonts w:hint="eastAsia"/>
          <w:sz w:val="28"/>
          <w:szCs w:val="28"/>
        </w:rPr>
        <w:t>开展在线课程服务和运营相关的</w:t>
      </w:r>
      <w:r>
        <w:rPr>
          <w:sz w:val="28"/>
          <w:szCs w:val="28"/>
        </w:rPr>
        <w:t>许可证书</w:t>
      </w:r>
      <w:r>
        <w:rPr>
          <w:rFonts w:hint="eastAsia"/>
          <w:sz w:val="28"/>
          <w:szCs w:val="28"/>
        </w:rPr>
        <w:t>，包括工信部ICP网站备案号、公安机关网站备案号、信息安全二级及以上等级保护证书。平台在经营活动中无严重违法失信记录。</w:t>
      </w:r>
    </w:p>
    <w:p>
      <w:pPr>
        <w:spacing w:line="560" w:lineRule="exact"/>
        <w:ind w:firstLine="420"/>
        <w:rPr>
          <w:sz w:val="28"/>
          <w:szCs w:val="28"/>
        </w:rPr>
      </w:pPr>
      <w:r>
        <w:rPr>
          <w:rFonts w:ascii="黑体" w:hAnsi="黑体" w:eastAsia="黑体"/>
          <w:b/>
          <w:sz w:val="28"/>
          <w:szCs w:val="28"/>
        </w:rPr>
        <w:t>2</w:t>
      </w:r>
      <w:r>
        <w:rPr>
          <w:rFonts w:hint="eastAsia" w:ascii="黑体" w:hAnsi="黑体" w:eastAsia="黑体"/>
          <w:b/>
          <w:sz w:val="28"/>
          <w:szCs w:val="28"/>
        </w:rPr>
        <w:t>．人员。</w:t>
      </w:r>
      <w:r>
        <w:rPr>
          <w:rFonts w:hint="eastAsia"/>
          <w:sz w:val="28"/>
          <w:szCs w:val="28"/>
        </w:rPr>
        <w:t>平台</w:t>
      </w:r>
      <w:r>
        <w:rPr>
          <w:sz w:val="28"/>
          <w:szCs w:val="28"/>
        </w:rPr>
        <w:t>应具备</w:t>
      </w:r>
      <w:r>
        <w:rPr>
          <w:rFonts w:hint="eastAsia"/>
          <w:sz w:val="28"/>
          <w:szCs w:val="28"/>
        </w:rPr>
        <w:t>专业</w:t>
      </w:r>
      <w:r>
        <w:rPr>
          <w:sz w:val="28"/>
          <w:szCs w:val="28"/>
        </w:rPr>
        <w:t>的团队，</w:t>
      </w:r>
      <w:r>
        <w:rPr>
          <w:rFonts w:hint="eastAsia"/>
          <w:sz w:val="28"/>
          <w:szCs w:val="28"/>
        </w:rPr>
        <w:t>聘用资格、知识、技能满足服务需求的专职人员负责</w:t>
      </w:r>
      <w:r>
        <w:rPr>
          <w:sz w:val="28"/>
          <w:szCs w:val="28"/>
        </w:rPr>
        <w:t>技术运维、课程管理</w:t>
      </w:r>
      <w:r>
        <w:rPr>
          <w:rFonts w:hint="eastAsia"/>
          <w:sz w:val="28"/>
          <w:szCs w:val="28"/>
        </w:rPr>
        <w:t>和运营</w:t>
      </w:r>
      <w:r>
        <w:rPr>
          <w:sz w:val="28"/>
          <w:szCs w:val="28"/>
        </w:rPr>
        <w:t>等工作。</w:t>
      </w:r>
    </w:p>
    <w:p>
      <w:pPr>
        <w:spacing w:line="560" w:lineRule="exact"/>
        <w:ind w:firstLine="420"/>
        <w:rPr>
          <w:sz w:val="28"/>
          <w:szCs w:val="28"/>
        </w:rPr>
      </w:pPr>
      <w:r>
        <w:rPr>
          <w:rFonts w:ascii="黑体" w:hAnsi="黑体" w:eastAsia="黑体"/>
          <w:b/>
          <w:sz w:val="28"/>
          <w:szCs w:val="28"/>
        </w:rPr>
        <w:t>3</w:t>
      </w:r>
      <w:r>
        <w:rPr>
          <w:rFonts w:hint="eastAsia" w:ascii="黑体" w:hAnsi="黑体" w:eastAsia="黑体"/>
          <w:b/>
          <w:sz w:val="28"/>
          <w:szCs w:val="28"/>
        </w:rPr>
        <w:t>．流程</w:t>
      </w:r>
      <w:r>
        <w:rPr>
          <w:rFonts w:hint="eastAsia"/>
          <w:sz w:val="28"/>
          <w:szCs w:val="28"/>
        </w:rPr>
        <w:t>。平台应建立完善的工作流程，以支持面向高校的慕课教学，</w:t>
      </w:r>
      <w:r>
        <w:rPr>
          <w:sz w:val="28"/>
          <w:szCs w:val="28"/>
        </w:rPr>
        <w:t>包括但不限于</w:t>
      </w:r>
      <w:r>
        <w:rPr>
          <w:rFonts w:hint="eastAsia"/>
          <w:sz w:val="28"/>
          <w:szCs w:val="28"/>
        </w:rPr>
        <w:t>课程</w:t>
      </w:r>
      <w:r>
        <w:rPr>
          <w:sz w:val="28"/>
          <w:szCs w:val="28"/>
        </w:rPr>
        <w:t>上线审核、课程</w:t>
      </w:r>
      <w:r>
        <w:rPr>
          <w:rFonts w:hint="eastAsia"/>
          <w:sz w:val="28"/>
          <w:szCs w:val="28"/>
        </w:rPr>
        <w:t>管理</w:t>
      </w:r>
      <w:r>
        <w:rPr>
          <w:sz w:val="28"/>
          <w:szCs w:val="28"/>
        </w:rPr>
        <w:t>运营、</w:t>
      </w:r>
      <w:r>
        <w:rPr>
          <w:rFonts w:hint="eastAsia"/>
          <w:sz w:val="28"/>
          <w:szCs w:val="28"/>
        </w:rPr>
        <w:t>学期服务等。平台应严格按照流程执行，做到可核查、可追溯。</w:t>
      </w:r>
    </w:p>
    <w:p>
      <w:pPr>
        <w:ind w:firstLine="420"/>
        <w:rPr>
          <w:sz w:val="28"/>
          <w:szCs w:val="28"/>
        </w:rPr>
      </w:pPr>
      <w:r>
        <w:rPr>
          <w:rFonts w:ascii="黑体" w:hAnsi="黑体" w:eastAsia="黑体"/>
          <w:b/>
          <w:sz w:val="28"/>
          <w:szCs w:val="28"/>
        </w:rPr>
        <w:t>4</w:t>
      </w:r>
      <w:r>
        <w:rPr>
          <w:rFonts w:hint="eastAsia" w:ascii="黑体" w:hAnsi="黑体" w:eastAsia="黑体"/>
          <w:b/>
          <w:sz w:val="28"/>
          <w:szCs w:val="28"/>
        </w:rPr>
        <w:t>．</w:t>
      </w:r>
      <w:r>
        <w:rPr>
          <w:rFonts w:ascii="黑体" w:hAnsi="黑体" w:eastAsia="黑体"/>
          <w:b/>
          <w:sz w:val="28"/>
          <w:szCs w:val="28"/>
        </w:rPr>
        <w:t>数据。</w:t>
      </w:r>
      <w:r>
        <w:rPr>
          <w:rFonts w:hint="eastAsia"/>
          <w:sz w:val="28"/>
          <w:szCs w:val="28"/>
        </w:rPr>
        <w:t>平台应建立</w:t>
      </w:r>
      <w:r>
        <w:rPr>
          <w:sz w:val="28"/>
          <w:szCs w:val="28"/>
        </w:rPr>
        <w:t>完备的数据</w:t>
      </w:r>
      <w:r>
        <w:rPr>
          <w:rFonts w:hint="eastAsia"/>
          <w:sz w:val="28"/>
          <w:szCs w:val="28"/>
        </w:rPr>
        <w:t>采集</w:t>
      </w:r>
      <w:r>
        <w:rPr>
          <w:sz w:val="28"/>
          <w:szCs w:val="28"/>
        </w:rPr>
        <w:t>、存储</w:t>
      </w:r>
      <w:r>
        <w:rPr>
          <w:rFonts w:hint="eastAsia"/>
          <w:sz w:val="28"/>
          <w:szCs w:val="28"/>
        </w:rPr>
        <w:t>、</w:t>
      </w:r>
      <w:r>
        <w:rPr>
          <w:sz w:val="28"/>
          <w:szCs w:val="28"/>
        </w:rPr>
        <w:t>管理与使用规范，</w:t>
      </w:r>
      <w:r>
        <w:rPr>
          <w:rFonts w:hint="eastAsia"/>
          <w:sz w:val="28"/>
          <w:szCs w:val="28"/>
        </w:rPr>
        <w:t>提供</w:t>
      </w:r>
      <w:r>
        <w:rPr>
          <w:sz w:val="28"/>
          <w:szCs w:val="28"/>
        </w:rPr>
        <w:t>关键数据的长期</w:t>
      </w:r>
      <w:r>
        <w:rPr>
          <w:rFonts w:hint="eastAsia"/>
          <w:sz w:val="28"/>
          <w:szCs w:val="28"/>
        </w:rPr>
        <w:t>存储</w:t>
      </w:r>
      <w:r>
        <w:rPr>
          <w:sz w:val="28"/>
          <w:szCs w:val="28"/>
        </w:rPr>
        <w:t>和过程性数据的</w:t>
      </w:r>
      <w:r>
        <w:rPr>
          <w:rFonts w:hint="eastAsia"/>
          <w:sz w:val="28"/>
          <w:szCs w:val="28"/>
        </w:rPr>
        <w:t>合理期限</w:t>
      </w:r>
      <w:r>
        <w:rPr>
          <w:sz w:val="28"/>
          <w:szCs w:val="28"/>
        </w:rPr>
        <w:t>存储服务。</w:t>
      </w:r>
      <w:r>
        <w:rPr>
          <w:rFonts w:hint="eastAsia"/>
          <w:sz w:val="28"/>
          <w:szCs w:val="28"/>
        </w:rPr>
        <w:t>数据的共享</w:t>
      </w:r>
      <w:r>
        <w:rPr>
          <w:sz w:val="28"/>
          <w:szCs w:val="28"/>
        </w:rPr>
        <w:t>与</w:t>
      </w:r>
      <w:r>
        <w:rPr>
          <w:rFonts w:hint="eastAsia"/>
          <w:sz w:val="28"/>
          <w:szCs w:val="28"/>
        </w:rPr>
        <w:t>使用须符合</w:t>
      </w:r>
      <w:r>
        <w:rPr>
          <w:sz w:val="28"/>
          <w:szCs w:val="28"/>
        </w:rPr>
        <w:t>国家在</w:t>
      </w:r>
      <w:r>
        <w:rPr>
          <w:rFonts w:hint="eastAsia"/>
          <w:sz w:val="28"/>
          <w:szCs w:val="28"/>
        </w:rPr>
        <w:t>科学</w:t>
      </w:r>
      <w:r>
        <w:rPr>
          <w:sz w:val="28"/>
          <w:szCs w:val="28"/>
        </w:rPr>
        <w:t>伦理</w:t>
      </w:r>
      <w:r>
        <w:rPr>
          <w:rFonts w:hint="eastAsia"/>
          <w:sz w:val="28"/>
          <w:szCs w:val="28"/>
        </w:rPr>
        <w:t>、</w:t>
      </w:r>
      <w:r>
        <w:rPr>
          <w:sz w:val="28"/>
          <w:szCs w:val="28"/>
        </w:rPr>
        <w:t>数据隐私</w:t>
      </w:r>
      <w:r>
        <w:rPr>
          <w:rFonts w:hint="eastAsia"/>
          <w:sz w:val="28"/>
          <w:szCs w:val="28"/>
        </w:rPr>
        <w:t>保护</w:t>
      </w:r>
      <w:r>
        <w:rPr>
          <w:sz w:val="28"/>
          <w:szCs w:val="28"/>
        </w:rPr>
        <w:t>等方面的</w:t>
      </w:r>
      <w:r>
        <w:rPr>
          <w:rFonts w:hint="eastAsia"/>
          <w:sz w:val="28"/>
          <w:szCs w:val="28"/>
        </w:rPr>
        <w:t>规定。</w:t>
      </w:r>
    </w:p>
    <w:p>
      <w:pPr>
        <w:spacing w:line="560" w:lineRule="exact"/>
        <w:ind w:firstLine="420"/>
        <w:rPr>
          <w:sz w:val="28"/>
          <w:szCs w:val="28"/>
        </w:rPr>
      </w:pPr>
      <w:r>
        <w:rPr>
          <w:rFonts w:ascii="黑体" w:hAnsi="黑体" w:eastAsia="黑体"/>
          <w:b/>
          <w:sz w:val="28"/>
          <w:szCs w:val="28"/>
        </w:rPr>
        <w:t>5</w:t>
      </w:r>
      <w:r>
        <w:rPr>
          <w:rFonts w:hint="eastAsia" w:ascii="黑体" w:hAnsi="黑体" w:eastAsia="黑体"/>
          <w:b/>
          <w:sz w:val="28"/>
          <w:szCs w:val="28"/>
        </w:rPr>
        <w:t>．监管</w:t>
      </w:r>
      <w:r>
        <w:rPr>
          <w:rFonts w:hint="eastAsia"/>
          <w:sz w:val="28"/>
          <w:szCs w:val="28"/>
        </w:rPr>
        <w:t>。平台应对</w:t>
      </w:r>
      <w:r>
        <w:rPr>
          <w:sz w:val="28"/>
          <w:szCs w:val="28"/>
        </w:rPr>
        <w:t>课程的</w:t>
      </w:r>
      <w:r>
        <w:rPr>
          <w:rFonts w:hint="eastAsia"/>
          <w:sz w:val="28"/>
          <w:szCs w:val="28"/>
        </w:rPr>
        <w:t>思想性</w:t>
      </w:r>
      <w:r>
        <w:rPr>
          <w:sz w:val="28"/>
          <w:szCs w:val="28"/>
        </w:rPr>
        <w:t>、</w:t>
      </w:r>
      <w:r>
        <w:rPr>
          <w:rFonts w:hint="eastAsia"/>
          <w:sz w:val="28"/>
          <w:szCs w:val="28"/>
        </w:rPr>
        <w:t>科学性</w:t>
      </w:r>
      <w:r>
        <w:rPr>
          <w:sz w:val="28"/>
          <w:szCs w:val="28"/>
        </w:rPr>
        <w:t>负</w:t>
      </w:r>
      <w:r>
        <w:rPr>
          <w:rFonts w:hint="eastAsia"/>
          <w:sz w:val="28"/>
          <w:szCs w:val="28"/>
        </w:rPr>
        <w:t>责</w:t>
      </w:r>
      <w:r>
        <w:rPr>
          <w:sz w:val="28"/>
          <w:szCs w:val="28"/>
        </w:rPr>
        <w:t>，</w:t>
      </w:r>
      <w:r>
        <w:rPr>
          <w:rFonts w:hint="eastAsia"/>
          <w:sz w:val="28"/>
          <w:szCs w:val="28"/>
        </w:rPr>
        <w:t>保证课程</w:t>
      </w:r>
      <w:r>
        <w:rPr>
          <w:sz w:val="28"/>
          <w:szCs w:val="28"/>
        </w:rPr>
        <w:t>符合慕课基本标准（参见本指南的“二、慕课基本标准”）</w:t>
      </w:r>
      <w:r>
        <w:rPr>
          <w:rFonts w:hint="eastAsia"/>
          <w:sz w:val="28"/>
          <w:szCs w:val="28"/>
        </w:rPr>
        <w:t>。平台应以学校推荐课程为主，不得随意接受个人提供的课程，应对课程全生命周期的</w:t>
      </w:r>
      <w:r>
        <w:rPr>
          <w:sz w:val="28"/>
          <w:szCs w:val="28"/>
        </w:rPr>
        <w:t>所有活动和内容</w:t>
      </w:r>
      <w:r>
        <w:rPr>
          <w:rFonts w:hint="eastAsia"/>
          <w:sz w:val="28"/>
          <w:szCs w:val="28"/>
        </w:rPr>
        <w:t>进行监管并留存审查记录,</w:t>
      </w:r>
      <w:r>
        <w:rPr>
          <w:sz w:val="28"/>
          <w:szCs w:val="28"/>
        </w:rPr>
        <w:t>确保</w:t>
      </w:r>
      <w:r>
        <w:rPr>
          <w:rFonts w:hint="eastAsia"/>
          <w:sz w:val="28"/>
          <w:szCs w:val="28"/>
        </w:rPr>
        <w:t>不</w:t>
      </w:r>
      <w:r>
        <w:rPr>
          <w:sz w:val="28"/>
          <w:szCs w:val="28"/>
        </w:rPr>
        <w:t>传播</w:t>
      </w:r>
      <w:r>
        <w:rPr>
          <w:rFonts w:hint="eastAsia"/>
          <w:sz w:val="28"/>
          <w:szCs w:val="28"/>
        </w:rPr>
        <w:t>有害信息。</w:t>
      </w:r>
    </w:p>
    <w:p>
      <w:pPr>
        <w:spacing w:line="560" w:lineRule="exact"/>
        <w:ind w:firstLine="420"/>
        <w:rPr>
          <w:sz w:val="28"/>
          <w:szCs w:val="28"/>
        </w:rPr>
      </w:pPr>
      <w:r>
        <w:rPr>
          <w:rFonts w:hint="eastAsia"/>
          <w:sz w:val="28"/>
          <w:szCs w:val="28"/>
        </w:rPr>
        <w:t>监管范围包括但不限于以下内容：</w:t>
      </w:r>
    </w:p>
    <w:p>
      <w:pPr>
        <w:spacing w:line="560" w:lineRule="exact"/>
        <w:ind w:firstLine="420"/>
        <w:rPr>
          <w:sz w:val="28"/>
          <w:szCs w:val="28"/>
        </w:rPr>
      </w:pPr>
      <w:r>
        <w:rPr>
          <w:rFonts w:hint="eastAsia"/>
          <w:sz w:val="28"/>
          <w:szCs w:val="28"/>
        </w:rPr>
        <w:t>（1）主讲者资格审查。满足本指南二（四）的要求。</w:t>
      </w:r>
    </w:p>
    <w:p>
      <w:pPr>
        <w:spacing w:line="560" w:lineRule="exact"/>
        <w:ind w:firstLine="420"/>
        <w:rPr>
          <w:sz w:val="28"/>
          <w:szCs w:val="28"/>
        </w:rPr>
      </w:pPr>
      <w:r>
        <w:rPr>
          <w:rFonts w:hint="eastAsia"/>
          <w:sz w:val="28"/>
          <w:szCs w:val="28"/>
        </w:rPr>
        <w:t>（2）课程内容审查。满足本指南二（二）2的要求。</w:t>
      </w:r>
    </w:p>
    <w:p>
      <w:pPr>
        <w:spacing w:line="560" w:lineRule="exact"/>
        <w:ind w:firstLine="420"/>
        <w:rPr>
          <w:sz w:val="28"/>
          <w:szCs w:val="28"/>
        </w:rPr>
      </w:pPr>
      <w:r>
        <w:rPr>
          <w:rFonts w:hint="eastAsia"/>
          <w:sz w:val="28"/>
          <w:szCs w:val="28"/>
        </w:rPr>
        <w:t>（3）课堂讨论区内容审查等。满足本指南二（四）5的要求。</w:t>
      </w:r>
    </w:p>
    <w:p>
      <w:pPr>
        <w:spacing w:line="560" w:lineRule="exact"/>
        <w:ind w:firstLine="420"/>
        <w:rPr>
          <w:rFonts w:ascii="黑体" w:hAnsi="黑体" w:eastAsia="黑体"/>
          <w:sz w:val="28"/>
          <w:szCs w:val="28"/>
        </w:rPr>
      </w:pPr>
      <w:r>
        <w:rPr>
          <w:rFonts w:hint="eastAsia" w:ascii="黑体" w:hAnsi="黑体" w:eastAsia="黑体"/>
          <w:sz w:val="28"/>
          <w:szCs w:val="28"/>
        </w:rPr>
        <w:t>（二）技术要求</w:t>
      </w:r>
    </w:p>
    <w:p>
      <w:pPr>
        <w:ind w:firstLine="420"/>
        <w:rPr>
          <w:sz w:val="28"/>
          <w:szCs w:val="28"/>
        </w:rPr>
      </w:pPr>
      <w:r>
        <w:rPr>
          <w:rFonts w:hint="eastAsia" w:ascii="黑体" w:hAnsi="黑体" w:eastAsia="黑体"/>
          <w:b/>
          <w:sz w:val="28"/>
          <w:szCs w:val="28"/>
        </w:rPr>
        <w:t>1．可靠性</w:t>
      </w:r>
      <w:r>
        <w:rPr>
          <w:rFonts w:hint="eastAsia"/>
          <w:sz w:val="28"/>
          <w:szCs w:val="28"/>
        </w:rPr>
        <w:t>。平台</w:t>
      </w:r>
      <w:r>
        <w:rPr>
          <w:sz w:val="28"/>
          <w:szCs w:val="28"/>
        </w:rPr>
        <w:t>应保证</w:t>
      </w:r>
      <w:r>
        <w:rPr>
          <w:rFonts w:hint="eastAsia"/>
          <w:sz w:val="28"/>
          <w:szCs w:val="28"/>
        </w:rPr>
        <w:t>运行环境稳定、可靠，提供24小时不间断</w:t>
      </w:r>
      <w:r>
        <w:rPr>
          <w:sz w:val="28"/>
          <w:szCs w:val="28"/>
        </w:rPr>
        <w:t>的课</w:t>
      </w:r>
      <w:r>
        <w:rPr>
          <w:rFonts w:hint="eastAsia"/>
          <w:sz w:val="28"/>
          <w:szCs w:val="28"/>
        </w:rPr>
        <w:t>程运营服务，确保用户可以随时访问相关课程，保证所有数据真实有效可核查。</w:t>
      </w:r>
    </w:p>
    <w:p>
      <w:pPr>
        <w:ind w:firstLine="420"/>
        <w:rPr>
          <w:sz w:val="28"/>
          <w:szCs w:val="28"/>
        </w:rPr>
      </w:pPr>
      <w:r>
        <w:rPr>
          <w:rFonts w:hint="eastAsia" w:ascii="黑体" w:hAnsi="黑体" w:eastAsia="黑体"/>
          <w:b/>
          <w:sz w:val="28"/>
          <w:szCs w:val="28"/>
        </w:rPr>
        <w:t>2．适应性。</w:t>
      </w:r>
      <w:r>
        <w:rPr>
          <w:rFonts w:hint="eastAsia"/>
          <w:sz w:val="28"/>
          <w:szCs w:val="28"/>
        </w:rPr>
        <w:t>平台应保证必要的兼容性，支持主流操作系统、主流浏览器、主流的网络协议、服务协议，支持主流PC终端和移动终端（如手机APP、微信小程序等）的访问。</w:t>
      </w:r>
    </w:p>
    <w:p>
      <w:pPr>
        <w:ind w:firstLine="420"/>
        <w:rPr>
          <w:sz w:val="28"/>
          <w:szCs w:val="28"/>
        </w:rPr>
      </w:pPr>
      <w:r>
        <w:rPr>
          <w:rFonts w:hint="eastAsia" w:ascii="黑体" w:hAnsi="黑体" w:eastAsia="黑体"/>
          <w:b/>
          <w:sz w:val="28"/>
          <w:szCs w:val="28"/>
        </w:rPr>
        <w:t>3．安全性。</w:t>
      </w:r>
      <w:r>
        <w:rPr>
          <w:rFonts w:hint="eastAsia"/>
          <w:sz w:val="28"/>
          <w:szCs w:val="28"/>
        </w:rPr>
        <w:t>平台应依据国家有关管理规定和技术标准履行安全保护责任，保证运行环境和</w:t>
      </w:r>
      <w:r>
        <w:rPr>
          <w:sz w:val="28"/>
          <w:szCs w:val="28"/>
        </w:rPr>
        <w:t>平台</w:t>
      </w:r>
      <w:r>
        <w:rPr>
          <w:rFonts w:hint="eastAsia"/>
          <w:sz w:val="28"/>
          <w:szCs w:val="28"/>
        </w:rPr>
        <w:t>的网络安全、</w:t>
      </w:r>
      <w:r>
        <w:rPr>
          <w:sz w:val="28"/>
          <w:szCs w:val="28"/>
        </w:rPr>
        <w:t>系统安全</w:t>
      </w:r>
      <w:r>
        <w:rPr>
          <w:rFonts w:hint="eastAsia"/>
          <w:sz w:val="28"/>
          <w:szCs w:val="28"/>
        </w:rPr>
        <w:t>、</w:t>
      </w:r>
      <w:r>
        <w:rPr>
          <w:sz w:val="28"/>
          <w:szCs w:val="28"/>
        </w:rPr>
        <w:t>数据安全</w:t>
      </w:r>
      <w:r>
        <w:rPr>
          <w:rFonts w:hint="eastAsia"/>
          <w:sz w:val="28"/>
          <w:szCs w:val="28"/>
        </w:rPr>
        <w:t>。</w:t>
      </w:r>
    </w:p>
    <w:p>
      <w:pPr>
        <w:spacing w:line="560" w:lineRule="exact"/>
        <w:ind w:firstLine="420"/>
        <w:rPr>
          <w:rFonts w:ascii="黑体" w:hAnsi="黑体" w:eastAsia="黑体"/>
          <w:sz w:val="28"/>
          <w:szCs w:val="28"/>
        </w:rPr>
      </w:pPr>
      <w:r>
        <w:rPr>
          <w:rFonts w:hint="eastAsia" w:ascii="黑体" w:hAnsi="黑体" w:eastAsia="黑体"/>
          <w:sz w:val="28"/>
          <w:szCs w:val="28"/>
        </w:rPr>
        <w:t>（三）基本功能要求</w:t>
      </w:r>
    </w:p>
    <w:p>
      <w:pPr>
        <w:spacing w:line="560" w:lineRule="exact"/>
        <w:ind w:firstLine="560" w:firstLineChars="200"/>
        <w:rPr>
          <w:sz w:val="28"/>
          <w:szCs w:val="28"/>
        </w:rPr>
      </w:pPr>
      <w:r>
        <w:rPr>
          <w:rFonts w:hint="eastAsia"/>
          <w:sz w:val="28"/>
          <w:szCs w:val="28"/>
        </w:rPr>
        <w:t>根据本指南“二、慕课基本标准”</w:t>
      </w:r>
      <w:r>
        <w:rPr>
          <w:sz w:val="28"/>
          <w:szCs w:val="28"/>
        </w:rPr>
        <w:t>“三</w:t>
      </w:r>
      <w:r>
        <w:rPr>
          <w:rFonts w:hint="eastAsia"/>
          <w:sz w:val="28"/>
          <w:szCs w:val="28"/>
        </w:rPr>
        <w:t>、基于慕课的线上线下混合式课程基本标准</w:t>
      </w:r>
      <w:r>
        <w:rPr>
          <w:sz w:val="28"/>
          <w:szCs w:val="28"/>
        </w:rPr>
        <w:t>”</w:t>
      </w:r>
      <w:r>
        <w:rPr>
          <w:rFonts w:hint="eastAsia"/>
          <w:sz w:val="28"/>
          <w:szCs w:val="28"/>
        </w:rPr>
        <w:t>，</w:t>
      </w:r>
      <w:r>
        <w:rPr>
          <w:sz w:val="28"/>
          <w:szCs w:val="28"/>
        </w:rPr>
        <w:t>平台</w:t>
      </w:r>
      <w:r>
        <w:rPr>
          <w:rFonts w:hint="eastAsia"/>
          <w:sz w:val="28"/>
          <w:szCs w:val="28"/>
        </w:rPr>
        <w:t>应具备</w:t>
      </w:r>
      <w:r>
        <w:rPr>
          <w:sz w:val="28"/>
          <w:szCs w:val="28"/>
        </w:rPr>
        <w:t>的</w:t>
      </w:r>
      <w:r>
        <w:rPr>
          <w:rFonts w:hint="eastAsia"/>
          <w:sz w:val="28"/>
          <w:szCs w:val="28"/>
        </w:rPr>
        <w:t>基本</w:t>
      </w:r>
      <w:r>
        <w:rPr>
          <w:sz w:val="28"/>
          <w:szCs w:val="28"/>
        </w:rPr>
        <w:t>功能包括但不限于：</w:t>
      </w:r>
    </w:p>
    <w:p>
      <w:pPr>
        <w:spacing w:line="560" w:lineRule="exact"/>
        <w:ind w:firstLine="568" w:firstLineChars="202"/>
        <w:rPr>
          <w:sz w:val="28"/>
          <w:szCs w:val="28"/>
        </w:rPr>
      </w:pPr>
      <w:r>
        <w:rPr>
          <w:rFonts w:ascii="黑体" w:hAnsi="黑体" w:eastAsia="黑体"/>
          <w:b/>
          <w:sz w:val="28"/>
          <w:szCs w:val="28"/>
        </w:rPr>
        <w:t>1</w:t>
      </w:r>
      <w:r>
        <w:rPr>
          <w:rFonts w:hint="eastAsia" w:ascii="黑体" w:hAnsi="黑体" w:eastAsia="黑体"/>
          <w:b/>
          <w:sz w:val="28"/>
          <w:szCs w:val="28"/>
        </w:rPr>
        <w:t>．学期制。</w:t>
      </w:r>
      <w:r>
        <w:rPr>
          <w:rFonts w:hint="eastAsia"/>
          <w:sz w:val="28"/>
          <w:szCs w:val="28"/>
        </w:rPr>
        <w:t>平台应支持慕课学期制开放模式。同时还能</w:t>
      </w:r>
      <w:r>
        <w:rPr>
          <w:sz w:val="28"/>
          <w:szCs w:val="28"/>
        </w:rPr>
        <w:t>提供</w:t>
      </w:r>
      <w:r>
        <w:rPr>
          <w:rFonts w:hint="eastAsia"/>
          <w:sz w:val="28"/>
          <w:szCs w:val="28"/>
        </w:rPr>
        <w:t>面向</w:t>
      </w:r>
      <w:r>
        <w:rPr>
          <w:sz w:val="28"/>
          <w:szCs w:val="28"/>
        </w:rPr>
        <w:t>高校慕课教学的学期制</w:t>
      </w:r>
      <w:r>
        <w:rPr>
          <w:rFonts w:hint="eastAsia"/>
          <w:sz w:val="28"/>
          <w:szCs w:val="28"/>
        </w:rPr>
        <w:t>课程（SPOC课程）服务。</w:t>
      </w:r>
    </w:p>
    <w:p>
      <w:pPr>
        <w:spacing w:line="560" w:lineRule="exact"/>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．课程介绍。</w:t>
      </w:r>
      <w:r>
        <w:rPr>
          <w:rFonts w:hint="eastAsia"/>
          <w:sz w:val="28"/>
          <w:szCs w:val="28"/>
        </w:rPr>
        <w:t>平台应提供课程介绍的编辑、更新、审核、发布等功能。</w:t>
      </w:r>
    </w:p>
    <w:p>
      <w:pPr>
        <w:spacing w:line="560" w:lineRule="exact"/>
        <w:ind w:firstLine="562" w:firstLineChars="200"/>
        <w:rPr>
          <w:sz w:val="28"/>
          <w:szCs w:val="28"/>
        </w:rPr>
      </w:pPr>
      <w:r>
        <w:rPr>
          <w:rFonts w:ascii="黑体" w:hAnsi="黑体" w:eastAsia="黑体"/>
          <w:b/>
          <w:sz w:val="28"/>
          <w:szCs w:val="28"/>
        </w:rPr>
        <w:t>3</w:t>
      </w:r>
      <w:r>
        <w:rPr>
          <w:rFonts w:hint="eastAsia" w:ascii="黑体" w:hAnsi="黑体" w:eastAsia="黑体"/>
          <w:b/>
          <w:sz w:val="28"/>
          <w:szCs w:val="28"/>
        </w:rPr>
        <w:t>．课程教学团队。</w:t>
      </w:r>
      <w:r>
        <w:rPr>
          <w:rFonts w:hint="eastAsia"/>
          <w:sz w:val="28"/>
          <w:szCs w:val="28"/>
        </w:rPr>
        <w:t>平台应能够对课程教学团队进行管理，设置团队成员不同角色并区分不同的责任，能够追溯团队</w:t>
      </w:r>
      <w:r>
        <w:rPr>
          <w:sz w:val="28"/>
          <w:szCs w:val="28"/>
        </w:rPr>
        <w:t>成员</w:t>
      </w:r>
      <w:r>
        <w:rPr>
          <w:rFonts w:hint="eastAsia"/>
          <w:sz w:val="28"/>
          <w:szCs w:val="28"/>
        </w:rPr>
        <w:t>对课程的操作。</w:t>
      </w:r>
    </w:p>
    <w:p>
      <w:pPr>
        <w:spacing w:line="560" w:lineRule="exact"/>
        <w:ind w:firstLine="562" w:firstLineChars="200"/>
        <w:rPr>
          <w:sz w:val="28"/>
          <w:szCs w:val="28"/>
        </w:rPr>
      </w:pPr>
      <w:r>
        <w:rPr>
          <w:rFonts w:ascii="黑体" w:hAnsi="黑体" w:eastAsia="黑体"/>
          <w:b/>
          <w:sz w:val="28"/>
          <w:szCs w:val="28"/>
        </w:rPr>
        <w:t>4</w:t>
      </w:r>
      <w:r>
        <w:rPr>
          <w:rFonts w:hint="eastAsia" w:ascii="黑体" w:hAnsi="黑体" w:eastAsia="黑体"/>
          <w:b/>
          <w:sz w:val="28"/>
          <w:szCs w:val="28"/>
        </w:rPr>
        <w:t>．教学计划。</w:t>
      </w:r>
      <w:r>
        <w:rPr>
          <w:rFonts w:hint="eastAsia"/>
          <w:sz w:val="28"/>
          <w:szCs w:val="28"/>
        </w:rPr>
        <w:t>平台应提供教学计划的编制功能，为教师按照教学计划配置教学资源提供</w:t>
      </w:r>
      <w:r>
        <w:rPr>
          <w:sz w:val="28"/>
          <w:szCs w:val="28"/>
        </w:rPr>
        <w:t>足够权限</w:t>
      </w:r>
      <w:r>
        <w:rPr>
          <w:rFonts w:hint="eastAsia"/>
          <w:sz w:val="28"/>
          <w:szCs w:val="28"/>
        </w:rPr>
        <w:t>。</w:t>
      </w:r>
    </w:p>
    <w:p>
      <w:pPr>
        <w:spacing w:line="560" w:lineRule="exact"/>
        <w:ind w:firstLine="562" w:firstLineChars="200"/>
        <w:rPr>
          <w:sz w:val="28"/>
          <w:szCs w:val="28"/>
        </w:rPr>
      </w:pPr>
      <w:r>
        <w:rPr>
          <w:rFonts w:ascii="黑体" w:hAnsi="黑体" w:eastAsia="黑体"/>
          <w:b/>
          <w:sz w:val="28"/>
          <w:szCs w:val="28"/>
        </w:rPr>
        <w:t>5</w:t>
      </w:r>
      <w:r>
        <w:rPr>
          <w:rFonts w:hint="eastAsia" w:ascii="黑体" w:hAnsi="黑体" w:eastAsia="黑体"/>
          <w:b/>
          <w:sz w:val="28"/>
          <w:szCs w:val="28"/>
        </w:rPr>
        <w:t>．课程资源。</w:t>
      </w:r>
      <w:r>
        <w:rPr>
          <w:rFonts w:hint="eastAsia"/>
          <w:sz w:val="28"/>
          <w:szCs w:val="28"/>
        </w:rPr>
        <w:t>平台应提供教学视频、教学课件、教学文档等课程资源的上传、管理、播放、浏览等功能，提供在线文档的编辑和排版功能。提供教学课件的下载功能。提供教学短视频的可变倍速（如</w:t>
      </w:r>
      <w:r>
        <w:rPr>
          <w:sz w:val="28"/>
          <w:szCs w:val="28"/>
        </w:rPr>
        <w:t>0.75倍速、正常倍速、1.5倍速和2倍速）观看功能。</w:t>
      </w:r>
    </w:p>
    <w:p>
      <w:pPr>
        <w:spacing w:line="560" w:lineRule="exact"/>
        <w:ind w:firstLine="562" w:firstLineChars="200"/>
        <w:rPr>
          <w:sz w:val="28"/>
          <w:szCs w:val="28"/>
        </w:rPr>
      </w:pPr>
      <w:r>
        <w:rPr>
          <w:rFonts w:ascii="黑体" w:hAnsi="黑体" w:eastAsia="黑体"/>
          <w:b/>
          <w:sz w:val="28"/>
          <w:szCs w:val="28"/>
        </w:rPr>
        <w:t>6</w:t>
      </w:r>
      <w:r>
        <w:rPr>
          <w:rFonts w:hint="eastAsia" w:ascii="黑体" w:hAnsi="黑体" w:eastAsia="黑体"/>
          <w:b/>
          <w:sz w:val="28"/>
          <w:szCs w:val="28"/>
        </w:rPr>
        <w:t>．课程测试与考核</w:t>
      </w:r>
      <w:r>
        <w:rPr>
          <w:rFonts w:hint="eastAsia"/>
          <w:sz w:val="28"/>
          <w:szCs w:val="28"/>
        </w:rPr>
        <w:t xml:space="preserve">。平台应提供课程测试与考核的功能，包括客观题及其自动评价、主观题及其同伴互评等； </w:t>
      </w:r>
    </w:p>
    <w:p>
      <w:pPr>
        <w:spacing w:line="560" w:lineRule="exact"/>
        <w:ind w:firstLine="560" w:firstLineChars="200"/>
        <w:rPr>
          <w:sz w:val="28"/>
          <w:szCs w:val="28"/>
        </w:rPr>
      </w:pPr>
      <w:r>
        <w:rPr>
          <w:rFonts w:hint="eastAsia"/>
          <w:sz w:val="28"/>
          <w:szCs w:val="28"/>
        </w:rPr>
        <w:t>面向学习者的功能可包括：非限时在线答题、限时在线答题、在线上传作业、在线浏览作业、在线评价作业、浏览测试评价结果等功能。</w:t>
      </w:r>
    </w:p>
    <w:p>
      <w:pPr>
        <w:spacing w:line="560" w:lineRule="exact"/>
        <w:ind w:firstLine="560" w:firstLineChars="200"/>
        <w:rPr>
          <w:sz w:val="28"/>
          <w:szCs w:val="28"/>
        </w:rPr>
      </w:pPr>
      <w:r>
        <w:rPr>
          <w:rFonts w:hint="eastAsia"/>
          <w:sz w:val="28"/>
          <w:szCs w:val="28"/>
        </w:rPr>
        <w:t>面向</w:t>
      </w:r>
      <w:r>
        <w:rPr>
          <w:sz w:val="28"/>
          <w:szCs w:val="28"/>
        </w:rPr>
        <w:t>课程教学团队</w:t>
      </w:r>
      <w:r>
        <w:rPr>
          <w:rFonts w:hint="eastAsia"/>
          <w:sz w:val="28"/>
          <w:szCs w:val="28"/>
        </w:rPr>
        <w:t>的功能包括：编辑试题、试卷排版、随机组卷、试题分类、在线评价作业、浏览测试评价结果等功能。</w:t>
      </w:r>
    </w:p>
    <w:p>
      <w:pPr>
        <w:spacing w:line="560" w:lineRule="exact"/>
        <w:ind w:firstLine="560" w:firstLineChars="200"/>
        <w:rPr>
          <w:sz w:val="28"/>
          <w:szCs w:val="28"/>
        </w:rPr>
      </w:pPr>
      <w:r>
        <w:rPr>
          <w:rFonts w:hint="eastAsia"/>
          <w:sz w:val="28"/>
          <w:szCs w:val="28"/>
        </w:rPr>
        <w:t>课程平台还应提供灵活的题库管理功能。</w:t>
      </w:r>
    </w:p>
    <w:p>
      <w:pPr>
        <w:spacing w:line="560" w:lineRule="exact"/>
        <w:ind w:firstLine="420"/>
        <w:rPr>
          <w:rFonts w:ascii="黑体" w:hAnsi="黑体" w:eastAsia="黑体"/>
          <w:b/>
          <w:sz w:val="28"/>
          <w:szCs w:val="28"/>
        </w:rPr>
      </w:pPr>
      <w:r>
        <w:rPr>
          <w:rFonts w:ascii="黑体" w:hAnsi="黑体" w:eastAsia="黑体"/>
          <w:b/>
          <w:sz w:val="28"/>
          <w:szCs w:val="28"/>
        </w:rPr>
        <w:t>7</w:t>
      </w:r>
      <w:r>
        <w:rPr>
          <w:rFonts w:hint="eastAsia" w:ascii="黑体" w:hAnsi="黑体" w:eastAsia="黑体"/>
          <w:b/>
          <w:sz w:val="28"/>
          <w:szCs w:val="28"/>
        </w:rPr>
        <w:t>．课程讨论区互动。</w:t>
      </w:r>
      <w:r>
        <w:rPr>
          <w:rFonts w:hint="eastAsia"/>
          <w:sz w:val="28"/>
          <w:szCs w:val="28"/>
        </w:rPr>
        <w:t>平台应提供课程讨论区功能，包括但不限于发帖、回帖、附件上传、精华帖置顶、设置正确答案、点赞、内容审核等功能。</w:t>
      </w:r>
    </w:p>
    <w:p>
      <w:pPr>
        <w:spacing w:line="560" w:lineRule="exact"/>
        <w:ind w:firstLine="420"/>
        <w:rPr>
          <w:rFonts w:ascii="黑体" w:hAnsi="黑体" w:eastAsia="黑体"/>
          <w:b/>
          <w:sz w:val="28"/>
          <w:szCs w:val="28"/>
        </w:rPr>
      </w:pPr>
      <w:r>
        <w:rPr>
          <w:rFonts w:ascii="黑体" w:hAnsi="黑体" w:eastAsia="黑体"/>
          <w:b/>
          <w:sz w:val="28"/>
          <w:szCs w:val="28"/>
        </w:rPr>
        <w:t>8</w:t>
      </w:r>
      <w:r>
        <w:rPr>
          <w:rFonts w:hint="eastAsia" w:ascii="黑体" w:hAnsi="黑体" w:eastAsia="黑体"/>
          <w:b/>
          <w:sz w:val="28"/>
          <w:szCs w:val="28"/>
        </w:rPr>
        <w:t>．成绩获取与管理。</w:t>
      </w:r>
      <w:r>
        <w:rPr>
          <w:rFonts w:hint="eastAsia"/>
          <w:sz w:val="28"/>
          <w:szCs w:val="28"/>
        </w:rPr>
        <w:t>平台应具备对课程成绩管理的功能。能够对所有的测试项目进行甄选，配置计入成绩的测试项目及其截止期限。自动生成学习者课程学习的最终成绩。</w:t>
      </w:r>
    </w:p>
    <w:p>
      <w:pPr>
        <w:spacing w:line="560" w:lineRule="exact"/>
        <w:ind w:firstLine="420"/>
        <w:rPr>
          <w:rFonts w:ascii="黑体" w:hAnsi="黑体" w:eastAsia="黑体"/>
          <w:b/>
          <w:sz w:val="28"/>
          <w:szCs w:val="28"/>
        </w:rPr>
      </w:pPr>
      <w:r>
        <w:rPr>
          <w:rFonts w:ascii="黑体" w:hAnsi="黑体" w:eastAsia="黑体"/>
          <w:b/>
          <w:sz w:val="28"/>
          <w:szCs w:val="28"/>
        </w:rPr>
        <w:t>9</w:t>
      </w:r>
      <w:r>
        <w:rPr>
          <w:rFonts w:hint="eastAsia" w:ascii="黑体" w:hAnsi="黑体" w:eastAsia="黑体"/>
          <w:b/>
          <w:sz w:val="28"/>
          <w:szCs w:val="28"/>
        </w:rPr>
        <w:t>．结课证书的管理</w:t>
      </w:r>
      <w:r>
        <w:rPr>
          <w:rFonts w:hint="eastAsia"/>
          <w:sz w:val="28"/>
          <w:szCs w:val="28"/>
        </w:rPr>
        <w:t>。平台应具备课程结课证书确定、发放和分发等功能，为通过考核的学习者发放结课证书，为学生获取结课证书提供必要的渠道。</w:t>
      </w:r>
    </w:p>
    <w:p>
      <w:pPr>
        <w:spacing w:line="560" w:lineRule="exact"/>
        <w:ind w:firstLine="420"/>
        <w:rPr>
          <w:sz w:val="28"/>
          <w:szCs w:val="28"/>
        </w:rPr>
      </w:pPr>
      <w:r>
        <w:rPr>
          <w:rFonts w:ascii="黑体" w:hAnsi="黑体" w:eastAsia="黑体"/>
          <w:b/>
          <w:sz w:val="28"/>
          <w:szCs w:val="28"/>
        </w:rPr>
        <w:t>10</w:t>
      </w:r>
      <w:r>
        <w:rPr>
          <w:rFonts w:hint="eastAsia" w:ascii="黑体" w:hAnsi="黑体" w:eastAsia="黑体"/>
          <w:b/>
          <w:sz w:val="28"/>
          <w:szCs w:val="28"/>
        </w:rPr>
        <w:t>．课程基本统计数据</w:t>
      </w:r>
      <w:r>
        <w:rPr>
          <w:rFonts w:hint="eastAsia"/>
          <w:sz w:val="28"/>
          <w:szCs w:val="28"/>
        </w:rPr>
        <w:t>。平台应为教学</w:t>
      </w:r>
      <w:r>
        <w:rPr>
          <w:sz w:val="28"/>
          <w:szCs w:val="28"/>
        </w:rPr>
        <w:t>团队和</w:t>
      </w:r>
      <w:r>
        <w:rPr>
          <w:rFonts w:hint="eastAsia"/>
          <w:sz w:val="28"/>
          <w:szCs w:val="28"/>
        </w:rPr>
        <w:t>学习者提供必要的数据统计服务，如课程选课人数、结课人数、每次测试或作业的完成人数、参与讨论的人数、每个话题的回帖数、评论数、点赞数等。</w:t>
      </w:r>
    </w:p>
    <w:p>
      <w:pPr>
        <w:spacing w:line="560" w:lineRule="exact"/>
        <w:ind w:firstLine="420"/>
        <w:rPr>
          <w:sz w:val="28"/>
          <w:szCs w:val="28"/>
        </w:rPr>
      </w:pPr>
      <w:r>
        <w:rPr>
          <w:rFonts w:ascii="黑体" w:hAnsi="黑体" w:eastAsia="黑体"/>
          <w:b/>
          <w:sz w:val="28"/>
          <w:szCs w:val="28"/>
        </w:rPr>
        <w:t>11</w:t>
      </w:r>
      <w:r>
        <w:rPr>
          <w:rFonts w:hint="eastAsia" w:ascii="黑体" w:hAnsi="黑体" w:eastAsia="黑体"/>
          <w:b/>
          <w:sz w:val="28"/>
          <w:szCs w:val="28"/>
        </w:rPr>
        <w:t>．课堂教学交互工具。</w:t>
      </w:r>
      <w:r>
        <w:rPr>
          <w:rFonts w:hint="eastAsia"/>
          <w:sz w:val="28"/>
          <w:szCs w:val="28"/>
        </w:rPr>
        <w:t>有</w:t>
      </w:r>
      <w:r>
        <w:rPr>
          <w:sz w:val="28"/>
          <w:szCs w:val="28"/>
        </w:rPr>
        <w:t>条件的</w:t>
      </w:r>
      <w:r>
        <w:rPr>
          <w:rFonts w:hint="eastAsia"/>
          <w:sz w:val="28"/>
          <w:szCs w:val="28"/>
        </w:rPr>
        <w:t>平台可提供基于在线课程的课堂教学交互工具，实现课程资源的有效利用，打通线上线下学习环节，实现数据一体化采集与形成性考核。</w:t>
      </w:r>
    </w:p>
    <w:p>
      <w:pPr>
        <w:spacing w:line="560" w:lineRule="exact"/>
        <w:ind w:firstLine="420"/>
        <w:rPr>
          <w:sz w:val="28"/>
          <w:szCs w:val="28"/>
        </w:rPr>
      </w:pPr>
      <w:r>
        <w:rPr>
          <w:rFonts w:hint="eastAsia" w:ascii="黑体" w:hAnsi="黑体" w:eastAsia="黑体"/>
          <w:b/>
          <w:sz w:val="28"/>
          <w:szCs w:val="28"/>
        </w:rPr>
        <w:t>12．</w:t>
      </w:r>
      <w:r>
        <w:rPr>
          <w:rFonts w:ascii="黑体" w:hAnsi="黑体" w:eastAsia="黑体"/>
          <w:b/>
          <w:sz w:val="28"/>
          <w:szCs w:val="28"/>
        </w:rPr>
        <w:t>课程</w:t>
      </w:r>
      <w:r>
        <w:rPr>
          <w:rFonts w:hint="eastAsia" w:ascii="黑体" w:hAnsi="黑体" w:eastAsia="黑体"/>
          <w:b/>
          <w:sz w:val="28"/>
          <w:szCs w:val="28"/>
        </w:rPr>
        <w:t>数据</w:t>
      </w:r>
      <w:r>
        <w:rPr>
          <w:rFonts w:ascii="黑体" w:hAnsi="黑体" w:eastAsia="黑体"/>
          <w:b/>
          <w:sz w:val="28"/>
          <w:szCs w:val="28"/>
        </w:rPr>
        <w:t>统计分析</w:t>
      </w:r>
      <w:r>
        <w:rPr>
          <w:rFonts w:hint="eastAsia" w:ascii="黑体" w:hAnsi="黑体" w:eastAsia="黑体"/>
          <w:b/>
          <w:sz w:val="28"/>
          <w:szCs w:val="28"/>
        </w:rPr>
        <w:t>。</w:t>
      </w:r>
      <w:r>
        <w:rPr>
          <w:rFonts w:hint="eastAsia"/>
          <w:sz w:val="28"/>
          <w:szCs w:val="28"/>
        </w:rPr>
        <w:t>平台应为各级教育行政部门提供</w:t>
      </w:r>
      <w:r>
        <w:rPr>
          <w:sz w:val="28"/>
          <w:szCs w:val="28"/>
        </w:rPr>
        <w:t>数据</w:t>
      </w:r>
      <w:r>
        <w:rPr>
          <w:rFonts w:hint="eastAsia"/>
          <w:sz w:val="28"/>
          <w:szCs w:val="28"/>
        </w:rPr>
        <w:t>统计</w:t>
      </w:r>
      <w:r>
        <w:rPr>
          <w:sz w:val="28"/>
          <w:szCs w:val="28"/>
        </w:rPr>
        <w:t>服务，为基于大数据的</w:t>
      </w:r>
      <w:r>
        <w:rPr>
          <w:rFonts w:hint="eastAsia"/>
          <w:sz w:val="28"/>
          <w:szCs w:val="28"/>
        </w:rPr>
        <w:t>慕课</w:t>
      </w:r>
      <w:r>
        <w:rPr>
          <w:sz w:val="28"/>
          <w:szCs w:val="28"/>
        </w:rPr>
        <w:t>教学管理</w:t>
      </w:r>
      <w:r>
        <w:rPr>
          <w:rFonts w:hint="eastAsia"/>
          <w:sz w:val="28"/>
          <w:szCs w:val="28"/>
        </w:rPr>
        <w:t>、</w:t>
      </w:r>
      <w:r>
        <w:rPr>
          <w:sz w:val="28"/>
          <w:szCs w:val="28"/>
        </w:rPr>
        <w:t>教学评估</w:t>
      </w:r>
      <w:r>
        <w:rPr>
          <w:rFonts w:hint="eastAsia"/>
          <w:sz w:val="28"/>
          <w:szCs w:val="28"/>
        </w:rPr>
        <w:t>提供数据</w:t>
      </w:r>
      <w:r>
        <w:rPr>
          <w:sz w:val="28"/>
          <w:szCs w:val="28"/>
        </w:rPr>
        <w:t>支撑。</w:t>
      </w:r>
      <w:r>
        <w:rPr>
          <w:rFonts w:hint="eastAsia"/>
          <w:sz w:val="28"/>
          <w:szCs w:val="28"/>
        </w:rPr>
        <w:t>平台应提供真实</w:t>
      </w:r>
      <w:r>
        <w:rPr>
          <w:sz w:val="28"/>
          <w:szCs w:val="28"/>
        </w:rPr>
        <w:t>有效的数据统计报表，</w:t>
      </w:r>
      <w:r>
        <w:rPr>
          <w:rFonts w:hint="eastAsia"/>
          <w:sz w:val="28"/>
          <w:szCs w:val="28"/>
        </w:rPr>
        <w:t>包括课程</w:t>
      </w:r>
      <w:r>
        <w:rPr>
          <w:sz w:val="28"/>
          <w:szCs w:val="28"/>
        </w:rPr>
        <w:t>基本</w:t>
      </w:r>
      <w:r>
        <w:rPr>
          <w:rFonts w:hint="eastAsia"/>
          <w:sz w:val="28"/>
          <w:szCs w:val="28"/>
        </w:rPr>
        <w:t>情况、课程</w:t>
      </w:r>
      <w:r>
        <w:rPr>
          <w:sz w:val="28"/>
          <w:szCs w:val="28"/>
        </w:rPr>
        <w:t>建设与开放情况、课程应用情况等方面</w:t>
      </w:r>
      <w:r>
        <w:rPr>
          <w:rFonts w:hint="eastAsia"/>
          <w:sz w:val="28"/>
          <w:szCs w:val="28"/>
        </w:rPr>
        <w:t>，参考</w:t>
      </w:r>
      <w:r>
        <w:rPr>
          <w:sz w:val="28"/>
          <w:szCs w:val="28"/>
        </w:rPr>
        <w:t>样表见附件。</w:t>
      </w:r>
    </w:p>
    <w:p>
      <w:pPr>
        <w:spacing w:line="560" w:lineRule="exact"/>
        <w:ind w:firstLine="420"/>
        <w:rPr>
          <w:rFonts w:ascii="黑体" w:hAnsi="黑体" w:eastAsia="黑体"/>
          <w:sz w:val="28"/>
          <w:szCs w:val="28"/>
        </w:rPr>
      </w:pPr>
      <w:r>
        <w:rPr>
          <w:rFonts w:hint="eastAsia" w:ascii="黑体" w:hAnsi="黑体" w:eastAsia="黑体"/>
          <w:sz w:val="28"/>
          <w:szCs w:val="28"/>
        </w:rPr>
        <w:t>（四）拓展功能要求</w:t>
      </w:r>
    </w:p>
    <w:p>
      <w:pPr>
        <w:spacing w:line="560" w:lineRule="exact"/>
        <w:ind w:firstLine="560" w:firstLineChars="200"/>
        <w:rPr>
          <w:sz w:val="28"/>
          <w:szCs w:val="28"/>
        </w:rPr>
      </w:pPr>
      <w:r>
        <w:rPr>
          <w:rFonts w:hint="eastAsia"/>
          <w:sz w:val="28"/>
          <w:szCs w:val="28"/>
        </w:rPr>
        <w:t>平台应</w:t>
      </w:r>
      <w:r>
        <w:rPr>
          <w:sz w:val="28"/>
          <w:szCs w:val="28"/>
        </w:rPr>
        <w:t>具备支持</w:t>
      </w:r>
      <w:r>
        <w:rPr>
          <w:rFonts w:hint="eastAsia"/>
          <w:sz w:val="28"/>
          <w:szCs w:val="28"/>
        </w:rPr>
        <w:t>多种</w:t>
      </w:r>
      <w:r>
        <w:rPr>
          <w:sz w:val="28"/>
          <w:szCs w:val="28"/>
        </w:rPr>
        <w:t>在线教学活动的扩展能力，</w:t>
      </w:r>
      <w:r>
        <w:rPr>
          <w:rFonts w:hint="eastAsia"/>
          <w:sz w:val="28"/>
          <w:szCs w:val="28"/>
        </w:rPr>
        <w:t>典型</w:t>
      </w:r>
      <w:r>
        <w:rPr>
          <w:sz w:val="28"/>
          <w:szCs w:val="28"/>
        </w:rPr>
        <w:t>扩展功能包括面向社会学习者的</w:t>
      </w:r>
      <w:r>
        <w:rPr>
          <w:rFonts w:hint="eastAsia"/>
          <w:sz w:val="28"/>
          <w:szCs w:val="28"/>
        </w:rPr>
        <w:t>多元化（平台</w:t>
      </w:r>
      <w:r>
        <w:rPr>
          <w:sz w:val="28"/>
          <w:szCs w:val="28"/>
        </w:rPr>
        <w:t>、授课单位、企业等</w:t>
      </w:r>
      <w:r>
        <w:rPr>
          <w:rFonts w:hint="eastAsia"/>
          <w:sz w:val="28"/>
          <w:szCs w:val="28"/>
        </w:rPr>
        <w:t>）</w:t>
      </w:r>
      <w:r>
        <w:rPr>
          <w:sz w:val="28"/>
          <w:szCs w:val="28"/>
        </w:rPr>
        <w:t>证书管理、</w:t>
      </w:r>
      <w:r>
        <w:rPr>
          <w:rFonts w:hint="eastAsia"/>
          <w:sz w:val="28"/>
          <w:szCs w:val="28"/>
        </w:rPr>
        <w:t>面向</w:t>
      </w:r>
      <w:r>
        <w:rPr>
          <w:sz w:val="28"/>
          <w:szCs w:val="28"/>
        </w:rPr>
        <w:t>SPOC</w:t>
      </w:r>
      <w:r>
        <w:rPr>
          <w:rFonts w:hint="eastAsia"/>
          <w:sz w:val="28"/>
          <w:szCs w:val="28"/>
        </w:rPr>
        <w:t>教学的课堂教学交互工具</w:t>
      </w:r>
      <w:r>
        <w:rPr>
          <w:sz w:val="28"/>
          <w:szCs w:val="28"/>
        </w:rPr>
        <w:t>、</w:t>
      </w:r>
      <w:r>
        <w:rPr>
          <w:rFonts w:hint="eastAsia"/>
          <w:sz w:val="28"/>
          <w:szCs w:val="28"/>
        </w:rPr>
        <w:t>线上</w:t>
      </w:r>
      <w:r>
        <w:rPr>
          <w:sz w:val="28"/>
          <w:szCs w:val="28"/>
        </w:rPr>
        <w:t>线下混合教学的</w:t>
      </w:r>
      <w:r>
        <w:rPr>
          <w:rFonts w:hint="eastAsia"/>
          <w:sz w:val="28"/>
          <w:szCs w:val="28"/>
        </w:rPr>
        <w:t>活动</w:t>
      </w:r>
      <w:r>
        <w:rPr>
          <w:sz w:val="28"/>
          <w:szCs w:val="28"/>
        </w:rPr>
        <w:t>记录与管理</w:t>
      </w:r>
      <w:r>
        <w:rPr>
          <w:rFonts w:hint="eastAsia"/>
          <w:sz w:val="28"/>
          <w:szCs w:val="28"/>
        </w:rPr>
        <w:t>等</w:t>
      </w:r>
      <w:r>
        <w:rPr>
          <w:sz w:val="28"/>
          <w:szCs w:val="28"/>
        </w:rPr>
        <w:t>。</w:t>
      </w:r>
    </w:p>
    <w:p>
      <w:pPr>
        <w:spacing w:line="560" w:lineRule="exact"/>
        <w:ind w:firstLine="560" w:firstLineChars="200"/>
        <w:rPr>
          <w:sz w:val="28"/>
          <w:szCs w:val="28"/>
        </w:rPr>
      </w:pPr>
    </w:p>
    <w:p>
      <w:pPr>
        <w:spacing w:line="560" w:lineRule="exact"/>
        <w:ind w:firstLine="560" w:firstLineChars="200"/>
        <w:rPr>
          <w:rFonts w:ascii="黑体" w:hAnsi="黑体" w:eastAsia="黑体"/>
          <w:sz w:val="28"/>
          <w:szCs w:val="28"/>
        </w:rPr>
      </w:pPr>
      <w:r>
        <w:rPr>
          <w:rFonts w:hint="eastAsia" w:ascii="黑体" w:hAnsi="黑体" w:eastAsia="黑体"/>
          <w:sz w:val="28"/>
          <w:szCs w:val="28"/>
        </w:rPr>
        <w:t>附件：慕课建设、开放与应用数据表</w:t>
      </w:r>
    </w:p>
    <w:p>
      <w:pPr>
        <w:jc w:val="center"/>
        <w:rPr>
          <w:rFonts w:ascii="黑体" w:hAnsi="黑体" w:eastAsia="黑体" w:cs="Times New Roman"/>
          <w:sz w:val="30"/>
          <w:szCs w:val="30"/>
        </w:rPr>
      </w:pPr>
      <w:r>
        <w:rPr>
          <w:rFonts w:hint="eastAsia" w:ascii="黑体" w:hAnsi="黑体" w:eastAsia="黑体" w:cs="Times New Roman"/>
          <w:sz w:val="30"/>
          <w:szCs w:val="30"/>
        </w:rPr>
        <w:t>表1：在线开放课程（慕课）建设与开放情况统计表</w:t>
      </w:r>
    </w:p>
    <w:p>
      <w:pPr>
        <w:rPr>
          <w:rFonts w:ascii="Calibri" w:hAnsi="Calibri" w:cs="Times New Roman"/>
        </w:rPr>
      </w:pPr>
      <w:r>
        <w:rPr>
          <w:rFonts w:hint="eastAsia" w:ascii="Calibri" w:hAnsi="Calibri" w:cs="Times New Roman"/>
          <w:sz w:val="24"/>
          <w:szCs w:val="24"/>
        </w:rPr>
        <w:t>开课平台_</w:t>
      </w:r>
      <w:r>
        <w:rPr>
          <w:rFonts w:ascii="Calibri" w:hAnsi="Calibri" w:cs="Times New Roman"/>
          <w:sz w:val="24"/>
          <w:szCs w:val="24"/>
        </w:rPr>
        <w:t xml:space="preserve">____________________     </w:t>
      </w:r>
      <w:r>
        <w:rPr>
          <w:rFonts w:hint="eastAsia" w:ascii="Calibri" w:hAnsi="Calibri" w:cs="Times New Roman"/>
          <w:sz w:val="24"/>
          <w:szCs w:val="24"/>
        </w:rPr>
        <w:t>统计数据产生日期_</w:t>
      </w:r>
      <w:r>
        <w:rPr>
          <w:rFonts w:ascii="Calibri" w:hAnsi="Calibri" w:cs="Times New Roman"/>
          <w:sz w:val="24"/>
          <w:szCs w:val="24"/>
        </w:rPr>
        <w:t>________________</w:t>
      </w:r>
    </w:p>
    <w:tbl>
      <w:tblPr>
        <w:tblStyle w:val="1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350"/>
        <w:gridCol w:w="851"/>
        <w:gridCol w:w="992"/>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vAlign w:val="center"/>
          </w:tcPr>
          <w:p>
            <w:pPr>
              <w:jc w:val="center"/>
              <w:rPr>
                <w:rFonts w:ascii="Arial" w:hAnsi="Arial" w:cs="Arial"/>
                <w:sz w:val="24"/>
                <w:szCs w:val="24"/>
              </w:rPr>
            </w:pPr>
            <w:r>
              <w:rPr>
                <w:rFonts w:ascii="Arial" w:hAnsi="Arial" w:cs="Arial"/>
                <w:sz w:val="24"/>
                <w:szCs w:val="24"/>
              </w:rPr>
              <w:t>序号</w:t>
            </w:r>
          </w:p>
        </w:tc>
        <w:tc>
          <w:tcPr>
            <w:tcW w:w="2350" w:type="dxa"/>
            <w:tcMar>
              <w:left w:w="57" w:type="dxa"/>
              <w:right w:w="28" w:type="dxa"/>
            </w:tcMar>
            <w:vAlign w:val="center"/>
          </w:tcPr>
          <w:p>
            <w:pPr>
              <w:jc w:val="center"/>
              <w:rPr>
                <w:rFonts w:ascii="Arial" w:hAnsi="Arial" w:cs="Arial"/>
                <w:sz w:val="24"/>
                <w:szCs w:val="24"/>
              </w:rPr>
            </w:pPr>
            <w:r>
              <w:rPr>
                <w:rFonts w:ascii="Arial" w:hAnsi="Arial" w:cs="Arial"/>
                <w:sz w:val="24"/>
                <w:szCs w:val="24"/>
              </w:rPr>
              <w:t>学校</w:t>
            </w:r>
          </w:p>
        </w:tc>
        <w:tc>
          <w:tcPr>
            <w:tcW w:w="851" w:type="dxa"/>
            <w:vAlign w:val="center"/>
          </w:tcPr>
          <w:p>
            <w:pPr>
              <w:jc w:val="center"/>
              <w:rPr>
                <w:rFonts w:ascii="Arial" w:hAnsi="Arial" w:cs="Arial"/>
                <w:sz w:val="24"/>
                <w:szCs w:val="24"/>
              </w:rPr>
            </w:pPr>
            <w:r>
              <w:rPr>
                <w:rFonts w:hint="eastAsia" w:ascii="Arial" w:hAnsi="Arial" w:cs="Arial"/>
                <w:sz w:val="24"/>
                <w:szCs w:val="24"/>
              </w:rPr>
              <w:t>课程类别</w:t>
            </w:r>
          </w:p>
        </w:tc>
        <w:tc>
          <w:tcPr>
            <w:tcW w:w="992" w:type="dxa"/>
            <w:tcMar>
              <w:left w:w="57" w:type="dxa"/>
              <w:right w:w="28" w:type="dxa"/>
            </w:tcMar>
            <w:vAlign w:val="center"/>
          </w:tcPr>
          <w:p>
            <w:pPr>
              <w:jc w:val="center"/>
              <w:rPr>
                <w:rFonts w:ascii="Arial" w:hAnsi="Arial" w:cs="Arial"/>
                <w:sz w:val="24"/>
                <w:szCs w:val="24"/>
              </w:rPr>
            </w:pPr>
            <w:r>
              <w:rPr>
                <w:rFonts w:ascii="Arial" w:hAnsi="Arial" w:cs="Arial"/>
                <w:sz w:val="24"/>
                <w:szCs w:val="24"/>
              </w:rPr>
              <w:t>开课</w:t>
            </w:r>
            <w:r>
              <w:rPr>
                <w:rFonts w:hint="eastAsia" w:ascii="Arial" w:hAnsi="Arial" w:cs="Arial"/>
                <w:sz w:val="24"/>
                <w:szCs w:val="24"/>
              </w:rPr>
              <w:t>课程门</w:t>
            </w:r>
            <w:r>
              <w:rPr>
                <w:rFonts w:ascii="Arial" w:hAnsi="Arial" w:cs="Arial"/>
                <w:sz w:val="24"/>
                <w:szCs w:val="24"/>
              </w:rPr>
              <w:t>数</w:t>
            </w:r>
          </w:p>
        </w:tc>
        <w:tc>
          <w:tcPr>
            <w:tcW w:w="1134" w:type="dxa"/>
            <w:vAlign w:val="center"/>
          </w:tcPr>
          <w:p>
            <w:pPr>
              <w:jc w:val="center"/>
              <w:rPr>
                <w:rFonts w:ascii="Arial" w:hAnsi="Arial" w:cs="Arial"/>
                <w:sz w:val="24"/>
                <w:szCs w:val="24"/>
              </w:rPr>
            </w:pPr>
            <w:r>
              <w:rPr>
                <w:rFonts w:hint="eastAsia" w:ascii="Arial" w:hAnsi="Arial" w:cs="Arial"/>
                <w:sz w:val="24"/>
                <w:szCs w:val="24"/>
              </w:rPr>
              <w:t>开课期次数</w:t>
            </w:r>
          </w:p>
        </w:tc>
        <w:tc>
          <w:tcPr>
            <w:tcW w:w="992" w:type="dxa"/>
            <w:tcMar>
              <w:left w:w="57" w:type="dxa"/>
              <w:right w:w="28" w:type="dxa"/>
            </w:tcMar>
            <w:vAlign w:val="center"/>
          </w:tcPr>
          <w:p>
            <w:pPr>
              <w:jc w:val="center"/>
              <w:rPr>
                <w:rFonts w:ascii="Arial" w:hAnsi="Arial" w:cs="Arial"/>
                <w:sz w:val="24"/>
                <w:szCs w:val="24"/>
              </w:rPr>
            </w:pPr>
            <w:r>
              <w:rPr>
                <w:rFonts w:ascii="Arial" w:hAnsi="Arial" w:cs="Arial"/>
                <w:sz w:val="24"/>
                <w:szCs w:val="24"/>
              </w:rPr>
              <w:t>累计选课人数</w:t>
            </w:r>
          </w:p>
        </w:tc>
        <w:tc>
          <w:tcPr>
            <w:tcW w:w="992" w:type="dxa"/>
            <w:tcMar>
              <w:left w:w="57" w:type="dxa"/>
              <w:right w:w="28" w:type="dxa"/>
            </w:tcMar>
            <w:vAlign w:val="center"/>
          </w:tcPr>
          <w:p>
            <w:pPr>
              <w:jc w:val="center"/>
              <w:rPr>
                <w:rFonts w:ascii="Arial" w:hAnsi="Arial" w:cs="Arial"/>
                <w:sz w:val="24"/>
                <w:szCs w:val="24"/>
              </w:rPr>
            </w:pPr>
            <w:r>
              <w:rPr>
                <w:rFonts w:ascii="Arial" w:hAnsi="Arial" w:cs="Arial"/>
                <w:sz w:val="24"/>
                <w:szCs w:val="24"/>
              </w:rPr>
              <w:t>累计结课人数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vAlign w:val="center"/>
          </w:tcPr>
          <w:p>
            <w:pPr>
              <w:jc w:val="center"/>
              <w:rPr>
                <w:rFonts w:ascii="Arial" w:hAnsi="Arial" w:cs="Arial"/>
                <w:sz w:val="24"/>
                <w:szCs w:val="24"/>
              </w:rPr>
            </w:pPr>
          </w:p>
        </w:tc>
        <w:tc>
          <w:tcPr>
            <w:tcW w:w="2350" w:type="dxa"/>
            <w:tcMar>
              <w:left w:w="57" w:type="dxa"/>
              <w:right w:w="28" w:type="dxa"/>
            </w:tcMar>
            <w:vAlign w:val="center"/>
          </w:tcPr>
          <w:p>
            <w:pPr>
              <w:jc w:val="center"/>
              <w:rPr>
                <w:rFonts w:ascii="Arial" w:hAnsi="Arial" w:cs="Arial"/>
                <w:sz w:val="24"/>
                <w:szCs w:val="24"/>
              </w:rPr>
            </w:pPr>
          </w:p>
        </w:tc>
        <w:tc>
          <w:tcPr>
            <w:tcW w:w="851" w:type="dxa"/>
            <w:vAlign w:val="center"/>
          </w:tcPr>
          <w:p>
            <w:pPr>
              <w:jc w:val="center"/>
              <w:rPr>
                <w:rFonts w:ascii="Arial" w:hAnsi="Arial" w:cs="Arial"/>
                <w:sz w:val="24"/>
                <w:szCs w:val="24"/>
              </w:rPr>
            </w:pPr>
          </w:p>
        </w:tc>
        <w:tc>
          <w:tcPr>
            <w:tcW w:w="992" w:type="dxa"/>
            <w:tcMar>
              <w:left w:w="57" w:type="dxa"/>
              <w:right w:w="28" w:type="dxa"/>
            </w:tcMar>
          </w:tcPr>
          <w:p>
            <w:pPr>
              <w:rPr>
                <w:rFonts w:ascii="Calibri" w:hAnsi="Calibri" w:cs="Times New Roman"/>
                <w:sz w:val="24"/>
                <w:szCs w:val="24"/>
              </w:rPr>
            </w:pPr>
          </w:p>
        </w:tc>
        <w:tc>
          <w:tcPr>
            <w:tcW w:w="1134"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tcPr>
          <w:p>
            <w:pPr>
              <w:rPr>
                <w:rFonts w:ascii="Calibri" w:hAnsi="Calibri" w:cs="Times New Roman"/>
                <w:sz w:val="24"/>
                <w:szCs w:val="24"/>
              </w:rPr>
            </w:pPr>
          </w:p>
        </w:tc>
        <w:tc>
          <w:tcPr>
            <w:tcW w:w="2350" w:type="dxa"/>
            <w:tcMar>
              <w:left w:w="57" w:type="dxa"/>
              <w:right w:w="28" w:type="dxa"/>
            </w:tcMar>
          </w:tcPr>
          <w:p>
            <w:pPr>
              <w:rPr>
                <w:rFonts w:ascii="Calibri" w:hAnsi="Calibri" w:cs="Times New Roman"/>
                <w:sz w:val="24"/>
                <w:szCs w:val="24"/>
              </w:rPr>
            </w:pPr>
          </w:p>
        </w:tc>
        <w:tc>
          <w:tcPr>
            <w:tcW w:w="851"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1134"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tcPr>
          <w:p>
            <w:pPr>
              <w:rPr>
                <w:rFonts w:ascii="Calibri" w:hAnsi="Calibri" w:cs="Times New Roman"/>
                <w:sz w:val="24"/>
                <w:szCs w:val="24"/>
              </w:rPr>
            </w:pPr>
          </w:p>
        </w:tc>
        <w:tc>
          <w:tcPr>
            <w:tcW w:w="2350" w:type="dxa"/>
            <w:tcMar>
              <w:left w:w="57" w:type="dxa"/>
              <w:right w:w="28" w:type="dxa"/>
            </w:tcMar>
          </w:tcPr>
          <w:p>
            <w:pPr>
              <w:rPr>
                <w:rFonts w:ascii="Calibri" w:hAnsi="Calibri" w:cs="Times New Roman"/>
                <w:sz w:val="24"/>
                <w:szCs w:val="24"/>
              </w:rPr>
            </w:pPr>
          </w:p>
        </w:tc>
        <w:tc>
          <w:tcPr>
            <w:tcW w:w="851"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1134"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tcPr>
          <w:p>
            <w:pPr>
              <w:rPr>
                <w:rFonts w:ascii="Calibri" w:hAnsi="Calibri" w:cs="Times New Roman"/>
                <w:sz w:val="24"/>
                <w:szCs w:val="24"/>
              </w:rPr>
            </w:pPr>
          </w:p>
        </w:tc>
        <w:tc>
          <w:tcPr>
            <w:tcW w:w="2350" w:type="dxa"/>
            <w:tcMar>
              <w:left w:w="57" w:type="dxa"/>
              <w:right w:w="28" w:type="dxa"/>
            </w:tcMar>
          </w:tcPr>
          <w:p>
            <w:pPr>
              <w:rPr>
                <w:rFonts w:ascii="Calibri" w:hAnsi="Calibri" w:cs="Times New Roman"/>
                <w:sz w:val="24"/>
                <w:szCs w:val="24"/>
              </w:rPr>
            </w:pPr>
          </w:p>
        </w:tc>
        <w:tc>
          <w:tcPr>
            <w:tcW w:w="851"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1134"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tcPr>
          <w:p>
            <w:pPr>
              <w:rPr>
                <w:rFonts w:ascii="Calibri" w:hAnsi="Calibri" w:cs="Times New Roman"/>
                <w:sz w:val="24"/>
                <w:szCs w:val="24"/>
              </w:rPr>
            </w:pPr>
          </w:p>
        </w:tc>
        <w:tc>
          <w:tcPr>
            <w:tcW w:w="2350" w:type="dxa"/>
            <w:tcMar>
              <w:left w:w="57" w:type="dxa"/>
              <w:right w:w="28" w:type="dxa"/>
            </w:tcMar>
          </w:tcPr>
          <w:p>
            <w:pPr>
              <w:rPr>
                <w:rFonts w:ascii="Calibri" w:hAnsi="Calibri" w:cs="Times New Roman"/>
                <w:sz w:val="24"/>
                <w:szCs w:val="24"/>
              </w:rPr>
            </w:pPr>
          </w:p>
        </w:tc>
        <w:tc>
          <w:tcPr>
            <w:tcW w:w="851"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1134" w:type="dxa"/>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r>
    </w:tbl>
    <w:p>
      <w:pPr>
        <w:rPr>
          <w:rFonts w:ascii="仿宋" w:hAnsi="仿宋" w:eastAsia="仿宋" w:cs="Times New Roman"/>
          <w:szCs w:val="21"/>
        </w:rPr>
      </w:pPr>
      <w:r>
        <w:rPr>
          <w:rFonts w:hint="eastAsia" w:ascii="仿宋" w:hAnsi="仿宋" w:eastAsia="仿宋" w:cs="Times New Roman"/>
          <w:szCs w:val="21"/>
        </w:rPr>
        <w:t>说明：(1</w:t>
      </w:r>
      <w:r>
        <w:rPr>
          <w:rFonts w:ascii="仿宋" w:hAnsi="仿宋" w:eastAsia="仿宋" w:cs="Times New Roman"/>
          <w:szCs w:val="21"/>
        </w:rPr>
        <w:t>)</w:t>
      </w:r>
      <w:r>
        <w:rPr>
          <w:rFonts w:hint="eastAsia" w:ascii="仿宋" w:hAnsi="仿宋" w:eastAsia="仿宋" w:cs="Times New Roman"/>
          <w:szCs w:val="21"/>
        </w:rPr>
        <w:t>【课程类别】是指&lt;01通识课&gt;（主要是指0101思政课、0102文化课、0103素质课等，面向所有学生学习的课程）、&lt;02数学与自然科学&gt;（主要是指0201数学类、0202物理类、0203化学类、0204生命科学类等,面向所有学生学习的基础课程）、&lt;03专业课</w:t>
      </w:r>
      <w:r>
        <w:rPr>
          <w:rFonts w:ascii="仿宋" w:hAnsi="仿宋" w:eastAsia="仿宋" w:cs="Times New Roman"/>
          <w:szCs w:val="21"/>
        </w:rPr>
        <w:t>&gt;</w:t>
      </w:r>
      <w:r>
        <w:rPr>
          <w:rFonts w:hint="eastAsia" w:ascii="仿宋" w:hAnsi="仿宋" w:eastAsia="仿宋" w:cs="Times New Roman"/>
          <w:szCs w:val="21"/>
        </w:rPr>
        <w:t>（主要是指0301专业基础课、0302专业核心课、0303专业选修课等，面向某一专业（类）学生学习的课程）、&lt;04其他本科&gt;（主要是指0401创新创业类）和&lt;05其他非本科&gt;（主要是指0501教师教育类等）。</w:t>
      </w:r>
    </w:p>
    <w:p>
      <w:pPr>
        <w:ind w:firstLine="420"/>
        <w:rPr>
          <w:rFonts w:ascii="仿宋" w:hAnsi="仿宋" w:eastAsia="仿宋" w:cs="Times New Roman"/>
          <w:szCs w:val="21"/>
        </w:rPr>
      </w:pPr>
      <w:r>
        <w:rPr>
          <w:rFonts w:hint="eastAsia" w:ascii="仿宋" w:hAnsi="仿宋" w:eastAsia="仿宋" w:cs="Times New Roman"/>
          <w:szCs w:val="21"/>
        </w:rPr>
        <w:t>(2</w:t>
      </w:r>
      <w:r>
        <w:rPr>
          <w:rFonts w:ascii="仿宋" w:hAnsi="仿宋" w:eastAsia="仿宋" w:cs="Times New Roman"/>
          <w:szCs w:val="21"/>
        </w:rPr>
        <w:t>)</w:t>
      </w:r>
      <w:r>
        <w:rPr>
          <w:rFonts w:hint="eastAsia" w:ascii="仿宋" w:hAnsi="仿宋" w:eastAsia="仿宋" w:cs="Times New Roman"/>
          <w:szCs w:val="21"/>
        </w:rPr>
        <w:t>【开课课程门数】和【开课期次数】，前者是不同课程的数目，后者是课程开设的期次数。例如某一门课程《XXX课程》，开设了5个期次，则在开课课程数中仅统计1次，而在开课期次数中则统计5次。没有划分期次的课程按1次进行统计。</w:t>
      </w:r>
    </w:p>
    <w:p>
      <w:pPr>
        <w:rPr>
          <w:rFonts w:ascii="仿宋" w:hAnsi="仿宋" w:eastAsia="仿宋" w:cs="Times New Roman"/>
          <w:szCs w:val="21"/>
        </w:rPr>
      </w:pPr>
      <w:r>
        <w:rPr>
          <w:rFonts w:ascii="仿宋" w:hAnsi="仿宋" w:eastAsia="仿宋" w:cs="Times New Roman"/>
          <w:szCs w:val="21"/>
        </w:rPr>
        <w:tab/>
      </w:r>
      <w:r>
        <w:rPr>
          <w:rFonts w:hint="eastAsia" w:ascii="仿宋" w:hAnsi="仿宋" w:eastAsia="仿宋" w:cs="Times New Roman"/>
          <w:szCs w:val="21"/>
        </w:rPr>
        <w:t>(</w:t>
      </w:r>
      <w:r>
        <w:rPr>
          <w:rFonts w:ascii="仿宋" w:hAnsi="仿宋" w:eastAsia="仿宋" w:cs="Times New Roman"/>
          <w:szCs w:val="21"/>
        </w:rPr>
        <w:t>3)</w:t>
      </w:r>
      <w:r>
        <w:rPr>
          <w:rFonts w:hint="eastAsia" w:ascii="仿宋" w:hAnsi="仿宋" w:eastAsia="仿宋" w:cs="Times New Roman"/>
          <w:szCs w:val="21"/>
        </w:rPr>
        <w:t>【选课人数】是指注册学习该课程的人数。【结课人数】是指通过该课程考核并达到合格标准的人数。</w:t>
      </w:r>
    </w:p>
    <w:p>
      <w:pPr>
        <w:rPr>
          <w:rFonts w:ascii="仿宋" w:hAnsi="仿宋" w:eastAsia="仿宋" w:cs="Times New Roman"/>
          <w:szCs w:val="21"/>
        </w:rPr>
      </w:pPr>
    </w:p>
    <w:p>
      <w:pPr>
        <w:jc w:val="center"/>
        <w:rPr>
          <w:rFonts w:ascii="黑体" w:hAnsi="黑体" w:eastAsia="黑体" w:cs="Times New Roman"/>
          <w:sz w:val="30"/>
          <w:szCs w:val="30"/>
        </w:rPr>
      </w:pPr>
      <w:r>
        <w:rPr>
          <w:rFonts w:hint="eastAsia" w:ascii="黑体" w:hAnsi="黑体" w:eastAsia="黑体" w:cs="Times New Roman"/>
          <w:sz w:val="30"/>
          <w:szCs w:val="30"/>
        </w:rPr>
        <w:t>表2：在线开放课程（慕课）应用情况统计表</w:t>
      </w:r>
    </w:p>
    <w:p>
      <w:pPr>
        <w:rPr>
          <w:rFonts w:ascii="Calibri" w:hAnsi="Calibri" w:cs="Times New Roman"/>
        </w:rPr>
      </w:pPr>
      <w:r>
        <w:rPr>
          <w:rFonts w:hint="eastAsia" w:ascii="Calibri" w:hAnsi="Calibri" w:cs="Times New Roman"/>
          <w:sz w:val="24"/>
          <w:szCs w:val="24"/>
        </w:rPr>
        <w:t>开课平台_</w:t>
      </w:r>
      <w:r>
        <w:rPr>
          <w:rFonts w:ascii="Calibri" w:hAnsi="Calibri" w:cs="Times New Roman"/>
          <w:sz w:val="24"/>
          <w:szCs w:val="24"/>
        </w:rPr>
        <w:t>____________________</w:t>
      </w:r>
    </w:p>
    <w:tbl>
      <w:tblPr>
        <w:tblStyle w:val="10"/>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350"/>
        <w:gridCol w:w="837"/>
        <w:gridCol w:w="1330"/>
        <w:gridCol w:w="1331"/>
        <w:gridCol w:w="133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vAlign w:val="center"/>
          </w:tcPr>
          <w:p>
            <w:pPr>
              <w:jc w:val="center"/>
              <w:rPr>
                <w:rFonts w:ascii="Arial" w:hAnsi="Arial" w:cs="Arial"/>
                <w:sz w:val="24"/>
                <w:szCs w:val="24"/>
              </w:rPr>
            </w:pPr>
            <w:r>
              <w:rPr>
                <w:rFonts w:ascii="Arial" w:hAnsi="Arial" w:cs="Arial"/>
                <w:sz w:val="24"/>
                <w:szCs w:val="24"/>
              </w:rPr>
              <w:t>序号</w:t>
            </w:r>
          </w:p>
        </w:tc>
        <w:tc>
          <w:tcPr>
            <w:tcW w:w="2350" w:type="dxa"/>
            <w:tcMar>
              <w:left w:w="57" w:type="dxa"/>
              <w:right w:w="28" w:type="dxa"/>
            </w:tcMar>
            <w:vAlign w:val="center"/>
          </w:tcPr>
          <w:p>
            <w:pPr>
              <w:jc w:val="center"/>
              <w:rPr>
                <w:rFonts w:ascii="Arial" w:hAnsi="Arial" w:cs="Arial"/>
                <w:sz w:val="24"/>
                <w:szCs w:val="24"/>
              </w:rPr>
            </w:pPr>
            <w:r>
              <w:rPr>
                <w:rFonts w:ascii="Arial" w:hAnsi="Arial" w:cs="Arial"/>
                <w:sz w:val="24"/>
                <w:szCs w:val="24"/>
              </w:rPr>
              <w:t>学校</w:t>
            </w:r>
          </w:p>
        </w:tc>
        <w:tc>
          <w:tcPr>
            <w:tcW w:w="837" w:type="dxa"/>
            <w:vAlign w:val="center"/>
          </w:tcPr>
          <w:p>
            <w:pPr>
              <w:jc w:val="center"/>
              <w:rPr>
                <w:rFonts w:ascii="Arial" w:hAnsi="Arial" w:cs="Arial"/>
                <w:sz w:val="24"/>
                <w:szCs w:val="24"/>
              </w:rPr>
            </w:pPr>
            <w:r>
              <w:rPr>
                <w:rFonts w:hint="eastAsia" w:ascii="Arial" w:hAnsi="Arial" w:cs="Arial"/>
                <w:sz w:val="24"/>
                <w:szCs w:val="24"/>
              </w:rPr>
              <w:t>课程类别</w:t>
            </w:r>
          </w:p>
        </w:tc>
        <w:tc>
          <w:tcPr>
            <w:tcW w:w="1330" w:type="dxa"/>
            <w:tcMar>
              <w:left w:w="57" w:type="dxa"/>
              <w:right w:w="28" w:type="dxa"/>
            </w:tcMar>
            <w:vAlign w:val="center"/>
          </w:tcPr>
          <w:p>
            <w:pPr>
              <w:jc w:val="center"/>
              <w:rPr>
                <w:rFonts w:ascii="Arial" w:hAnsi="Arial" w:cs="Arial"/>
                <w:sz w:val="24"/>
                <w:szCs w:val="24"/>
              </w:rPr>
            </w:pPr>
            <w:r>
              <w:rPr>
                <w:rFonts w:hint="eastAsia" w:ascii="Arial" w:hAnsi="Arial" w:cs="Arial"/>
                <w:sz w:val="24"/>
                <w:szCs w:val="24"/>
              </w:rPr>
              <w:t>引进</w:t>
            </w:r>
          </w:p>
          <w:p>
            <w:pPr>
              <w:jc w:val="center"/>
              <w:rPr>
                <w:rFonts w:ascii="Arial" w:hAnsi="Arial" w:cs="Arial"/>
                <w:sz w:val="24"/>
                <w:szCs w:val="24"/>
              </w:rPr>
            </w:pPr>
            <w:r>
              <w:rPr>
                <w:rFonts w:hint="eastAsia" w:ascii="Arial" w:hAnsi="Arial" w:cs="Arial"/>
                <w:sz w:val="24"/>
                <w:szCs w:val="24"/>
              </w:rPr>
              <w:t>课程门</w:t>
            </w:r>
            <w:r>
              <w:rPr>
                <w:rFonts w:ascii="Arial" w:hAnsi="Arial" w:cs="Arial"/>
                <w:sz w:val="24"/>
                <w:szCs w:val="24"/>
              </w:rPr>
              <w:t>数</w:t>
            </w:r>
          </w:p>
        </w:tc>
        <w:tc>
          <w:tcPr>
            <w:tcW w:w="1331" w:type="dxa"/>
            <w:vAlign w:val="center"/>
          </w:tcPr>
          <w:p>
            <w:pPr>
              <w:jc w:val="center"/>
              <w:rPr>
                <w:rFonts w:ascii="Arial" w:hAnsi="Arial" w:cs="Arial"/>
                <w:sz w:val="24"/>
                <w:szCs w:val="24"/>
              </w:rPr>
            </w:pPr>
            <w:r>
              <w:rPr>
                <w:rFonts w:hint="eastAsia" w:ascii="Arial" w:hAnsi="Arial" w:cs="Arial"/>
                <w:sz w:val="24"/>
                <w:szCs w:val="24"/>
              </w:rPr>
              <w:t>以SPOC形式引进课程门数</w:t>
            </w:r>
          </w:p>
        </w:tc>
        <w:tc>
          <w:tcPr>
            <w:tcW w:w="1330" w:type="dxa"/>
            <w:tcMar>
              <w:left w:w="57" w:type="dxa"/>
              <w:right w:w="28" w:type="dxa"/>
            </w:tcMar>
            <w:vAlign w:val="center"/>
          </w:tcPr>
          <w:p>
            <w:pPr>
              <w:jc w:val="center"/>
              <w:rPr>
                <w:rFonts w:ascii="Arial" w:hAnsi="Arial" w:cs="Arial"/>
                <w:sz w:val="24"/>
                <w:szCs w:val="24"/>
              </w:rPr>
            </w:pPr>
            <w:r>
              <w:rPr>
                <w:rFonts w:ascii="Arial" w:hAnsi="Arial" w:cs="Arial"/>
                <w:sz w:val="24"/>
                <w:szCs w:val="24"/>
              </w:rPr>
              <w:t>累计</w:t>
            </w:r>
          </w:p>
          <w:p>
            <w:pPr>
              <w:jc w:val="center"/>
              <w:rPr>
                <w:rFonts w:ascii="Arial" w:hAnsi="Arial" w:cs="Arial"/>
                <w:sz w:val="24"/>
                <w:szCs w:val="24"/>
              </w:rPr>
            </w:pPr>
            <w:r>
              <w:rPr>
                <w:rFonts w:ascii="Arial" w:hAnsi="Arial" w:cs="Arial"/>
                <w:sz w:val="24"/>
                <w:szCs w:val="24"/>
              </w:rPr>
              <w:t>选课人数</w:t>
            </w:r>
          </w:p>
        </w:tc>
        <w:tc>
          <w:tcPr>
            <w:tcW w:w="1331" w:type="dxa"/>
            <w:tcMar>
              <w:left w:w="57" w:type="dxa"/>
              <w:right w:w="28" w:type="dxa"/>
            </w:tcMar>
            <w:vAlign w:val="center"/>
          </w:tcPr>
          <w:p>
            <w:pPr>
              <w:jc w:val="center"/>
              <w:rPr>
                <w:rFonts w:ascii="Arial" w:hAnsi="Arial" w:cs="Arial"/>
                <w:sz w:val="24"/>
                <w:szCs w:val="24"/>
              </w:rPr>
            </w:pPr>
            <w:r>
              <w:rPr>
                <w:rFonts w:ascii="Arial" w:hAnsi="Arial" w:cs="Arial"/>
                <w:sz w:val="24"/>
                <w:szCs w:val="24"/>
              </w:rPr>
              <w:t>累计</w:t>
            </w:r>
          </w:p>
          <w:p>
            <w:pPr>
              <w:jc w:val="center"/>
              <w:rPr>
                <w:rFonts w:ascii="Arial" w:hAnsi="Arial" w:cs="Arial"/>
                <w:sz w:val="24"/>
                <w:szCs w:val="24"/>
              </w:rPr>
            </w:pPr>
            <w:r>
              <w:rPr>
                <w:rFonts w:ascii="Arial" w:hAnsi="Arial" w:cs="Arial"/>
                <w:sz w:val="24"/>
                <w:szCs w:val="24"/>
              </w:rPr>
              <w:t>结课人数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vAlign w:val="center"/>
          </w:tcPr>
          <w:p>
            <w:pPr>
              <w:jc w:val="center"/>
              <w:rPr>
                <w:rFonts w:ascii="Arial" w:hAnsi="Arial" w:cs="Arial"/>
                <w:sz w:val="24"/>
                <w:szCs w:val="24"/>
              </w:rPr>
            </w:pPr>
          </w:p>
        </w:tc>
        <w:tc>
          <w:tcPr>
            <w:tcW w:w="2350" w:type="dxa"/>
            <w:tcMar>
              <w:left w:w="57" w:type="dxa"/>
              <w:right w:w="28" w:type="dxa"/>
            </w:tcMar>
            <w:vAlign w:val="center"/>
          </w:tcPr>
          <w:p>
            <w:pPr>
              <w:jc w:val="center"/>
              <w:rPr>
                <w:rFonts w:ascii="Arial" w:hAnsi="Arial" w:cs="Arial"/>
                <w:sz w:val="24"/>
                <w:szCs w:val="24"/>
              </w:rPr>
            </w:pPr>
          </w:p>
        </w:tc>
        <w:tc>
          <w:tcPr>
            <w:tcW w:w="837" w:type="dxa"/>
            <w:vAlign w:val="center"/>
          </w:tcPr>
          <w:p>
            <w:pPr>
              <w:jc w:val="center"/>
              <w:rPr>
                <w:rFonts w:ascii="Arial" w:hAnsi="Arial" w:cs="Arial"/>
                <w:sz w:val="24"/>
                <w:szCs w:val="24"/>
              </w:rPr>
            </w:pPr>
          </w:p>
        </w:tc>
        <w:tc>
          <w:tcPr>
            <w:tcW w:w="1330" w:type="dxa"/>
            <w:tcMar>
              <w:left w:w="57" w:type="dxa"/>
              <w:right w:w="28" w:type="dxa"/>
            </w:tcMar>
          </w:tcPr>
          <w:p>
            <w:pPr>
              <w:rPr>
                <w:rFonts w:ascii="Calibri" w:hAnsi="Calibri" w:cs="Times New Roman"/>
                <w:sz w:val="24"/>
                <w:szCs w:val="24"/>
              </w:rPr>
            </w:pPr>
          </w:p>
        </w:tc>
        <w:tc>
          <w:tcPr>
            <w:tcW w:w="1331" w:type="dxa"/>
          </w:tcPr>
          <w:p>
            <w:pPr>
              <w:rPr>
                <w:rFonts w:ascii="Calibri" w:hAnsi="Calibri" w:cs="Times New Roman"/>
                <w:sz w:val="24"/>
                <w:szCs w:val="24"/>
              </w:rPr>
            </w:pPr>
          </w:p>
        </w:tc>
        <w:tc>
          <w:tcPr>
            <w:tcW w:w="1330" w:type="dxa"/>
            <w:tcMar>
              <w:left w:w="57" w:type="dxa"/>
              <w:right w:w="28" w:type="dxa"/>
            </w:tcMar>
          </w:tcPr>
          <w:p>
            <w:pPr>
              <w:rPr>
                <w:rFonts w:ascii="Calibri" w:hAnsi="Calibri" w:cs="Times New Roman"/>
                <w:sz w:val="24"/>
                <w:szCs w:val="24"/>
              </w:rPr>
            </w:pPr>
          </w:p>
        </w:tc>
        <w:tc>
          <w:tcPr>
            <w:tcW w:w="1331"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vAlign w:val="center"/>
          </w:tcPr>
          <w:p>
            <w:pPr>
              <w:jc w:val="center"/>
              <w:rPr>
                <w:rFonts w:ascii="Arial" w:hAnsi="Arial" w:cs="Arial"/>
                <w:sz w:val="24"/>
                <w:szCs w:val="24"/>
              </w:rPr>
            </w:pPr>
          </w:p>
        </w:tc>
        <w:tc>
          <w:tcPr>
            <w:tcW w:w="2350" w:type="dxa"/>
            <w:tcMar>
              <w:left w:w="57" w:type="dxa"/>
              <w:right w:w="28" w:type="dxa"/>
            </w:tcMar>
            <w:vAlign w:val="center"/>
          </w:tcPr>
          <w:p>
            <w:pPr>
              <w:jc w:val="center"/>
              <w:rPr>
                <w:rFonts w:ascii="Arial" w:hAnsi="Arial" w:cs="Arial"/>
                <w:sz w:val="24"/>
                <w:szCs w:val="24"/>
              </w:rPr>
            </w:pPr>
          </w:p>
        </w:tc>
        <w:tc>
          <w:tcPr>
            <w:tcW w:w="837" w:type="dxa"/>
            <w:vAlign w:val="center"/>
          </w:tcPr>
          <w:p>
            <w:pPr>
              <w:jc w:val="center"/>
              <w:rPr>
                <w:rFonts w:ascii="Arial" w:hAnsi="Arial" w:cs="Arial"/>
                <w:sz w:val="24"/>
                <w:szCs w:val="24"/>
              </w:rPr>
            </w:pPr>
          </w:p>
        </w:tc>
        <w:tc>
          <w:tcPr>
            <w:tcW w:w="1330" w:type="dxa"/>
            <w:tcMar>
              <w:left w:w="57" w:type="dxa"/>
              <w:right w:w="28" w:type="dxa"/>
            </w:tcMar>
          </w:tcPr>
          <w:p>
            <w:pPr>
              <w:rPr>
                <w:rFonts w:ascii="Calibri" w:hAnsi="Calibri" w:cs="Times New Roman"/>
                <w:sz w:val="24"/>
                <w:szCs w:val="24"/>
              </w:rPr>
            </w:pPr>
          </w:p>
        </w:tc>
        <w:tc>
          <w:tcPr>
            <w:tcW w:w="1331" w:type="dxa"/>
          </w:tcPr>
          <w:p>
            <w:pPr>
              <w:rPr>
                <w:rFonts w:ascii="Calibri" w:hAnsi="Calibri" w:cs="Times New Roman"/>
                <w:sz w:val="24"/>
                <w:szCs w:val="24"/>
              </w:rPr>
            </w:pPr>
          </w:p>
        </w:tc>
        <w:tc>
          <w:tcPr>
            <w:tcW w:w="1330" w:type="dxa"/>
            <w:tcMar>
              <w:left w:w="57" w:type="dxa"/>
              <w:right w:w="28" w:type="dxa"/>
            </w:tcMar>
          </w:tcPr>
          <w:p>
            <w:pPr>
              <w:rPr>
                <w:rFonts w:ascii="Calibri" w:hAnsi="Calibri" w:cs="Times New Roman"/>
                <w:sz w:val="24"/>
                <w:szCs w:val="24"/>
              </w:rPr>
            </w:pPr>
          </w:p>
        </w:tc>
        <w:tc>
          <w:tcPr>
            <w:tcW w:w="1331"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2" w:type="dxa"/>
            <w:tcMar>
              <w:left w:w="57" w:type="dxa"/>
              <w:right w:w="28" w:type="dxa"/>
            </w:tcMar>
            <w:vAlign w:val="center"/>
          </w:tcPr>
          <w:p>
            <w:pPr>
              <w:jc w:val="center"/>
              <w:rPr>
                <w:rFonts w:ascii="Arial" w:hAnsi="Arial" w:cs="Arial"/>
                <w:sz w:val="24"/>
                <w:szCs w:val="24"/>
              </w:rPr>
            </w:pPr>
          </w:p>
        </w:tc>
        <w:tc>
          <w:tcPr>
            <w:tcW w:w="2350" w:type="dxa"/>
            <w:tcMar>
              <w:left w:w="57" w:type="dxa"/>
              <w:right w:w="28" w:type="dxa"/>
            </w:tcMar>
            <w:vAlign w:val="center"/>
          </w:tcPr>
          <w:p>
            <w:pPr>
              <w:jc w:val="center"/>
              <w:rPr>
                <w:rFonts w:ascii="Arial" w:hAnsi="Arial" w:cs="Arial"/>
                <w:sz w:val="24"/>
                <w:szCs w:val="24"/>
              </w:rPr>
            </w:pPr>
          </w:p>
        </w:tc>
        <w:tc>
          <w:tcPr>
            <w:tcW w:w="837" w:type="dxa"/>
            <w:vAlign w:val="center"/>
          </w:tcPr>
          <w:p>
            <w:pPr>
              <w:jc w:val="center"/>
              <w:rPr>
                <w:rFonts w:ascii="Arial" w:hAnsi="Arial" w:cs="Arial"/>
                <w:sz w:val="24"/>
                <w:szCs w:val="24"/>
              </w:rPr>
            </w:pPr>
          </w:p>
        </w:tc>
        <w:tc>
          <w:tcPr>
            <w:tcW w:w="1330" w:type="dxa"/>
            <w:tcMar>
              <w:left w:w="57" w:type="dxa"/>
              <w:right w:w="28" w:type="dxa"/>
            </w:tcMar>
          </w:tcPr>
          <w:p>
            <w:pPr>
              <w:rPr>
                <w:rFonts w:ascii="Calibri" w:hAnsi="Calibri" w:cs="Times New Roman"/>
                <w:sz w:val="24"/>
                <w:szCs w:val="24"/>
              </w:rPr>
            </w:pPr>
          </w:p>
        </w:tc>
        <w:tc>
          <w:tcPr>
            <w:tcW w:w="1331" w:type="dxa"/>
          </w:tcPr>
          <w:p>
            <w:pPr>
              <w:rPr>
                <w:rFonts w:ascii="Calibri" w:hAnsi="Calibri" w:cs="Times New Roman"/>
                <w:sz w:val="24"/>
                <w:szCs w:val="24"/>
              </w:rPr>
            </w:pPr>
          </w:p>
        </w:tc>
        <w:tc>
          <w:tcPr>
            <w:tcW w:w="1330" w:type="dxa"/>
            <w:tcMar>
              <w:left w:w="57" w:type="dxa"/>
              <w:right w:w="28" w:type="dxa"/>
            </w:tcMar>
          </w:tcPr>
          <w:p>
            <w:pPr>
              <w:rPr>
                <w:rFonts w:ascii="Calibri" w:hAnsi="Calibri" w:cs="Times New Roman"/>
                <w:sz w:val="24"/>
                <w:szCs w:val="24"/>
              </w:rPr>
            </w:pPr>
          </w:p>
        </w:tc>
        <w:tc>
          <w:tcPr>
            <w:tcW w:w="1331" w:type="dxa"/>
            <w:tcMar>
              <w:left w:w="57" w:type="dxa"/>
              <w:right w:w="28" w:type="dxa"/>
            </w:tcMar>
          </w:tcPr>
          <w:p>
            <w:pPr>
              <w:rPr>
                <w:rFonts w:ascii="Calibri" w:hAnsi="Calibri" w:cs="Times New Roman"/>
                <w:sz w:val="24"/>
                <w:szCs w:val="24"/>
              </w:rPr>
            </w:pPr>
          </w:p>
        </w:tc>
      </w:tr>
    </w:tbl>
    <w:p>
      <w:pPr>
        <w:rPr>
          <w:rFonts w:ascii="仿宋" w:hAnsi="仿宋" w:eastAsia="仿宋" w:cs="Times New Roman"/>
          <w:szCs w:val="21"/>
        </w:rPr>
      </w:pPr>
      <w:r>
        <w:rPr>
          <w:rFonts w:hint="eastAsia" w:ascii="仿宋" w:hAnsi="仿宋" w:eastAsia="仿宋" w:cs="Times New Roman"/>
          <w:szCs w:val="21"/>
        </w:rPr>
        <w:t>说明：(1</w:t>
      </w:r>
      <w:r>
        <w:rPr>
          <w:rFonts w:ascii="仿宋" w:hAnsi="仿宋" w:eastAsia="仿宋" w:cs="Times New Roman"/>
          <w:szCs w:val="21"/>
        </w:rPr>
        <w:t>)</w:t>
      </w:r>
      <w:r>
        <w:rPr>
          <w:rFonts w:hint="eastAsia" w:ascii="仿宋" w:hAnsi="仿宋" w:eastAsia="仿宋" w:cs="Times New Roman"/>
          <w:szCs w:val="21"/>
        </w:rPr>
        <w:t>【课程类别】是指&lt;01通识课&gt;（主要是指0101思政课、0102文化课、0103素质课等，面向所有学生学习的课程）、&lt;02数学与自然科学&gt;（主要是指0201数学类、0202物理类、0203化学类、0204生命科学类等,面向所有学生学习的基础课程）、&lt;03专业课</w:t>
      </w:r>
      <w:r>
        <w:rPr>
          <w:rFonts w:ascii="仿宋" w:hAnsi="仿宋" w:eastAsia="仿宋" w:cs="Times New Roman"/>
          <w:szCs w:val="21"/>
        </w:rPr>
        <w:t>&gt;</w:t>
      </w:r>
      <w:r>
        <w:rPr>
          <w:rFonts w:hint="eastAsia" w:ascii="仿宋" w:hAnsi="仿宋" w:eastAsia="仿宋" w:cs="Times New Roman"/>
          <w:szCs w:val="21"/>
        </w:rPr>
        <w:t>（主要是指0301专业基础课、0302专业核心课、0303专业选修课等，面向某一专业（类）学生学习的课程）、&lt;04其他本科&gt;（主要是指0401创新创业类）和&lt;05其他非本科&gt;（主要是指0501教师教育类等）。</w:t>
      </w:r>
    </w:p>
    <w:p>
      <w:pPr>
        <w:rPr>
          <w:rFonts w:ascii="仿宋" w:hAnsi="仿宋" w:eastAsia="仿宋" w:cs="Times New Roman"/>
          <w:szCs w:val="21"/>
        </w:rPr>
      </w:pPr>
      <w:r>
        <w:rPr>
          <w:rFonts w:hint="eastAsia" w:ascii="仿宋" w:hAnsi="仿宋" w:eastAsia="仿宋" w:cs="Times New Roman"/>
          <w:szCs w:val="21"/>
        </w:rPr>
        <w:t>（2）【引进课程门数】，是指由各校教务部门确认的向本校学生推荐选课的课程数量，本校对这些课程将认定学分。</w:t>
      </w:r>
    </w:p>
    <w:p>
      <w:pPr>
        <w:rPr>
          <w:rFonts w:ascii="仿宋" w:hAnsi="仿宋" w:eastAsia="仿宋" w:cs="Times New Roman"/>
          <w:szCs w:val="21"/>
        </w:rPr>
      </w:pPr>
      <w:r>
        <w:rPr>
          <w:rFonts w:hint="eastAsia" w:ascii="仿宋" w:hAnsi="仿宋" w:eastAsia="仿宋" w:cs="Times New Roman"/>
          <w:szCs w:val="21"/>
        </w:rPr>
        <w:t>（3）【以SPOC形式引进课程门数】，是指以本校专属课程（SPOC）的形式引进并向本校学生开放的课程门数。</w:t>
      </w:r>
    </w:p>
    <w:p>
      <w:pPr>
        <w:rPr>
          <w:rFonts w:ascii="仿宋" w:hAnsi="仿宋" w:eastAsia="仿宋" w:cs="Times New Roman"/>
          <w:szCs w:val="21"/>
        </w:rPr>
      </w:pPr>
      <w:r>
        <w:rPr>
          <w:rFonts w:hint="eastAsia" w:ascii="仿宋" w:hAnsi="仿宋" w:eastAsia="仿宋" w:cs="Times New Roman"/>
          <w:szCs w:val="21"/>
        </w:rPr>
        <w:t>（4）【选课人数】是指本校学生选修引进慕课的人数。【结课人数】是指本校学生选修引进慕课、参与考核并达到合格标准的人数。</w:t>
      </w:r>
    </w:p>
    <w:p>
      <w:pPr>
        <w:rPr>
          <w:rFonts w:ascii="仿宋" w:hAnsi="仿宋" w:eastAsia="仿宋" w:cs="Times New Roman"/>
          <w:szCs w:val="21"/>
        </w:rPr>
      </w:pPr>
    </w:p>
    <w:p>
      <w:pPr>
        <w:jc w:val="center"/>
        <w:rPr>
          <w:rFonts w:ascii="黑体" w:hAnsi="黑体" w:eastAsia="黑体" w:cs="Times New Roman"/>
          <w:sz w:val="30"/>
          <w:szCs w:val="30"/>
        </w:rPr>
      </w:pPr>
      <w:r>
        <w:rPr>
          <w:rFonts w:hint="eastAsia" w:ascii="黑体" w:hAnsi="黑体" w:eastAsia="黑体" w:cs="Times New Roman"/>
          <w:sz w:val="30"/>
          <w:szCs w:val="30"/>
        </w:rPr>
        <w:t>表3：在线开放课程（慕课）开课情况详细数据表</w:t>
      </w:r>
    </w:p>
    <w:p>
      <w:pPr>
        <w:rPr>
          <w:rFonts w:ascii="Calibri" w:hAnsi="Calibri" w:cs="Times New Roman"/>
        </w:rPr>
      </w:pPr>
      <w:r>
        <w:rPr>
          <w:rFonts w:hint="eastAsia" w:ascii="Calibri" w:hAnsi="Calibri" w:cs="Times New Roman"/>
          <w:sz w:val="24"/>
          <w:szCs w:val="24"/>
        </w:rPr>
        <w:t>开课平台_</w:t>
      </w:r>
      <w:r>
        <w:rPr>
          <w:rFonts w:ascii="Calibri" w:hAnsi="Calibri" w:cs="Times New Roman"/>
          <w:sz w:val="24"/>
          <w:szCs w:val="24"/>
        </w:rPr>
        <w:t>____________________</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073"/>
        <w:gridCol w:w="1276"/>
        <w:gridCol w:w="1134"/>
        <w:gridCol w:w="992"/>
        <w:gridCol w:w="993"/>
        <w:gridCol w:w="992"/>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序号</w:t>
            </w:r>
          </w:p>
        </w:tc>
        <w:tc>
          <w:tcPr>
            <w:tcW w:w="1073"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学校</w:t>
            </w:r>
          </w:p>
        </w:tc>
        <w:tc>
          <w:tcPr>
            <w:tcW w:w="1276"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课程名称</w:t>
            </w:r>
          </w:p>
        </w:tc>
        <w:tc>
          <w:tcPr>
            <w:tcW w:w="1134"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课程类别</w:t>
            </w:r>
          </w:p>
        </w:tc>
        <w:tc>
          <w:tcPr>
            <w:tcW w:w="992"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负责人</w:t>
            </w:r>
          </w:p>
        </w:tc>
        <w:tc>
          <w:tcPr>
            <w:tcW w:w="993"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开课起止周期</w:t>
            </w:r>
          </w:p>
        </w:tc>
        <w:tc>
          <w:tcPr>
            <w:tcW w:w="992" w:type="dxa"/>
            <w:vAlign w:val="center"/>
          </w:tcPr>
          <w:p>
            <w:pPr>
              <w:jc w:val="center"/>
              <w:rPr>
                <w:rFonts w:ascii="Calibri" w:hAnsi="Calibri" w:cs="Times New Roman"/>
                <w:sz w:val="24"/>
                <w:szCs w:val="24"/>
              </w:rPr>
            </w:pPr>
            <w:r>
              <w:rPr>
                <w:rFonts w:hint="eastAsia" w:ascii="Calibri" w:hAnsi="Calibri" w:cs="Times New Roman"/>
                <w:sz w:val="24"/>
                <w:szCs w:val="24"/>
              </w:rPr>
              <w:t>见面课或直播课次数</w:t>
            </w:r>
          </w:p>
        </w:tc>
        <w:tc>
          <w:tcPr>
            <w:tcW w:w="709"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选课人数</w:t>
            </w:r>
          </w:p>
        </w:tc>
        <w:tc>
          <w:tcPr>
            <w:tcW w:w="708"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结课人数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1073" w:type="dxa"/>
            <w:tcMar>
              <w:left w:w="57" w:type="dxa"/>
              <w:right w:w="28" w:type="dxa"/>
            </w:tcMar>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1134"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3" w:type="dxa"/>
            <w:tcMar>
              <w:left w:w="57" w:type="dxa"/>
              <w:right w:w="28" w:type="dxa"/>
            </w:tcMar>
          </w:tcPr>
          <w:p>
            <w:pPr>
              <w:rPr>
                <w:rFonts w:ascii="Calibri" w:hAnsi="Calibri" w:cs="Times New Roman"/>
                <w:sz w:val="24"/>
                <w:szCs w:val="24"/>
              </w:rPr>
            </w:pPr>
          </w:p>
        </w:tc>
        <w:tc>
          <w:tcPr>
            <w:tcW w:w="992" w:type="dxa"/>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1073" w:type="dxa"/>
            <w:tcMar>
              <w:left w:w="57" w:type="dxa"/>
              <w:right w:w="28" w:type="dxa"/>
            </w:tcMar>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1134"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3" w:type="dxa"/>
            <w:tcMar>
              <w:left w:w="57" w:type="dxa"/>
              <w:right w:w="28" w:type="dxa"/>
            </w:tcMar>
          </w:tcPr>
          <w:p>
            <w:pPr>
              <w:rPr>
                <w:rFonts w:ascii="Calibri" w:hAnsi="Calibri" w:cs="Times New Roman"/>
                <w:sz w:val="24"/>
                <w:szCs w:val="24"/>
              </w:rPr>
            </w:pPr>
          </w:p>
        </w:tc>
        <w:tc>
          <w:tcPr>
            <w:tcW w:w="992" w:type="dxa"/>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1073" w:type="dxa"/>
            <w:tcMar>
              <w:left w:w="57" w:type="dxa"/>
              <w:right w:w="28" w:type="dxa"/>
            </w:tcMar>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1134" w:type="dxa"/>
            <w:tcMar>
              <w:left w:w="57" w:type="dxa"/>
              <w:right w:w="28" w:type="dxa"/>
            </w:tcMar>
          </w:tcPr>
          <w:p>
            <w:pPr>
              <w:rPr>
                <w:rFonts w:ascii="Calibri" w:hAnsi="Calibri" w:cs="Times New Roman"/>
                <w:sz w:val="24"/>
                <w:szCs w:val="24"/>
              </w:rPr>
            </w:pPr>
          </w:p>
        </w:tc>
        <w:tc>
          <w:tcPr>
            <w:tcW w:w="992" w:type="dxa"/>
            <w:tcMar>
              <w:left w:w="57" w:type="dxa"/>
              <w:right w:w="28" w:type="dxa"/>
            </w:tcMar>
          </w:tcPr>
          <w:p>
            <w:pPr>
              <w:rPr>
                <w:rFonts w:ascii="Calibri" w:hAnsi="Calibri" w:cs="Times New Roman"/>
                <w:sz w:val="24"/>
                <w:szCs w:val="24"/>
              </w:rPr>
            </w:pPr>
          </w:p>
        </w:tc>
        <w:tc>
          <w:tcPr>
            <w:tcW w:w="993" w:type="dxa"/>
            <w:tcMar>
              <w:left w:w="57" w:type="dxa"/>
              <w:right w:w="28" w:type="dxa"/>
            </w:tcMar>
          </w:tcPr>
          <w:p>
            <w:pPr>
              <w:rPr>
                <w:rFonts w:ascii="Calibri" w:hAnsi="Calibri" w:cs="Times New Roman"/>
                <w:sz w:val="24"/>
                <w:szCs w:val="24"/>
              </w:rPr>
            </w:pPr>
          </w:p>
        </w:tc>
        <w:tc>
          <w:tcPr>
            <w:tcW w:w="992" w:type="dxa"/>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r>
    </w:tbl>
    <w:p>
      <w:pPr>
        <w:rPr>
          <w:rFonts w:ascii="仿宋" w:hAnsi="仿宋" w:eastAsia="仿宋" w:cs="Times New Roman"/>
          <w:szCs w:val="21"/>
        </w:rPr>
      </w:pPr>
      <w:r>
        <w:rPr>
          <w:rFonts w:hint="eastAsia" w:ascii="仿宋" w:hAnsi="仿宋" w:eastAsia="仿宋" w:cs="Times New Roman"/>
          <w:szCs w:val="21"/>
        </w:rPr>
        <w:t>说明：以课程期次为单位进行填写。一门课程开设多期，则依次填写多行，每行一门课程一个期次。【课程类别】参见表1和表2的解释。【见面课或直播课次数】是指慕课课程负责人完成的见面课或直播课次数。【选课人数】和【结课人数】参见表1的解释。</w:t>
      </w:r>
    </w:p>
    <w:p>
      <w:pPr>
        <w:rPr>
          <w:rFonts w:ascii="仿宋" w:hAnsi="仿宋" w:eastAsia="仿宋" w:cs="Times New Roman"/>
          <w:szCs w:val="21"/>
        </w:rPr>
      </w:pPr>
    </w:p>
    <w:p>
      <w:pPr>
        <w:rPr>
          <w:rFonts w:ascii="仿宋" w:hAnsi="仿宋" w:eastAsia="仿宋" w:cs="Times New Roman"/>
          <w:szCs w:val="21"/>
        </w:rPr>
      </w:pPr>
    </w:p>
    <w:p>
      <w:pPr>
        <w:jc w:val="center"/>
        <w:rPr>
          <w:rFonts w:ascii="黑体" w:hAnsi="黑体" w:eastAsia="黑体" w:cs="Times New Roman"/>
          <w:sz w:val="30"/>
          <w:szCs w:val="30"/>
        </w:rPr>
      </w:pPr>
      <w:r>
        <w:rPr>
          <w:rFonts w:hint="eastAsia" w:ascii="黑体" w:hAnsi="黑体" w:eastAsia="黑体" w:cs="Times New Roman"/>
          <w:sz w:val="30"/>
          <w:szCs w:val="30"/>
        </w:rPr>
        <w:t>表4：在线开放课程（慕课）应用情况详细数据表</w:t>
      </w:r>
    </w:p>
    <w:p>
      <w:pPr>
        <w:rPr>
          <w:rFonts w:ascii="Calibri" w:hAnsi="Calibri" w:cs="Times New Roman"/>
        </w:rPr>
      </w:pPr>
    </w:p>
    <w:p>
      <w:pPr>
        <w:rPr>
          <w:rFonts w:ascii="Calibri" w:hAnsi="Calibri" w:cs="Times New Roman"/>
        </w:rPr>
      </w:pPr>
      <w:r>
        <w:rPr>
          <w:rFonts w:hint="eastAsia" w:ascii="Calibri" w:hAnsi="Calibri" w:cs="Times New Roman"/>
          <w:sz w:val="24"/>
          <w:szCs w:val="24"/>
        </w:rPr>
        <w:t>开课平台_</w:t>
      </w:r>
      <w:r>
        <w:rPr>
          <w:rFonts w:ascii="Calibri" w:hAnsi="Calibri" w:cs="Times New Roman"/>
          <w:sz w:val="24"/>
          <w:szCs w:val="24"/>
        </w:rPr>
        <w:t>____________________</w:t>
      </w:r>
    </w:p>
    <w:tbl>
      <w:tblPr>
        <w:tblStyle w:val="1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648"/>
        <w:gridCol w:w="851"/>
        <w:gridCol w:w="708"/>
        <w:gridCol w:w="709"/>
        <w:gridCol w:w="709"/>
        <w:gridCol w:w="709"/>
        <w:gridCol w:w="992"/>
        <w:gridCol w:w="1276"/>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序号</w:t>
            </w:r>
          </w:p>
        </w:tc>
        <w:tc>
          <w:tcPr>
            <w:tcW w:w="648"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学校</w:t>
            </w:r>
          </w:p>
        </w:tc>
        <w:tc>
          <w:tcPr>
            <w:tcW w:w="851"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引进慕课课程</w:t>
            </w:r>
          </w:p>
        </w:tc>
        <w:tc>
          <w:tcPr>
            <w:tcW w:w="708"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课程类别</w:t>
            </w:r>
          </w:p>
        </w:tc>
        <w:tc>
          <w:tcPr>
            <w:tcW w:w="709"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学校学期</w:t>
            </w:r>
          </w:p>
        </w:tc>
        <w:tc>
          <w:tcPr>
            <w:tcW w:w="709" w:type="dxa"/>
            <w:vAlign w:val="center"/>
          </w:tcPr>
          <w:p>
            <w:pPr>
              <w:jc w:val="center"/>
              <w:rPr>
                <w:rFonts w:ascii="Calibri" w:hAnsi="Calibri" w:cs="Times New Roman"/>
                <w:sz w:val="24"/>
                <w:szCs w:val="24"/>
              </w:rPr>
            </w:pPr>
            <w:r>
              <w:rPr>
                <w:rFonts w:hint="eastAsia" w:ascii="Calibri" w:hAnsi="Calibri" w:cs="Times New Roman"/>
                <w:sz w:val="24"/>
                <w:szCs w:val="24"/>
              </w:rPr>
              <w:t>见面课 次数</w:t>
            </w:r>
          </w:p>
        </w:tc>
        <w:tc>
          <w:tcPr>
            <w:tcW w:w="709" w:type="dxa"/>
            <w:vAlign w:val="center"/>
          </w:tcPr>
          <w:p>
            <w:pPr>
              <w:jc w:val="center"/>
              <w:rPr>
                <w:rFonts w:ascii="Calibri" w:hAnsi="Calibri" w:cs="Times New Roman"/>
                <w:sz w:val="24"/>
                <w:szCs w:val="24"/>
              </w:rPr>
            </w:pPr>
            <w:r>
              <w:rPr>
                <w:rFonts w:hint="eastAsia" w:ascii="Calibri" w:hAnsi="Calibri" w:cs="Times New Roman"/>
                <w:sz w:val="24"/>
                <w:szCs w:val="24"/>
              </w:rPr>
              <w:t>见面课 人数</w:t>
            </w:r>
          </w:p>
        </w:tc>
        <w:tc>
          <w:tcPr>
            <w:tcW w:w="992" w:type="dxa"/>
            <w:vAlign w:val="center"/>
          </w:tcPr>
          <w:p>
            <w:pPr>
              <w:jc w:val="center"/>
              <w:rPr>
                <w:rFonts w:ascii="Calibri" w:hAnsi="Calibri" w:cs="Times New Roman"/>
                <w:sz w:val="24"/>
                <w:szCs w:val="24"/>
              </w:rPr>
            </w:pPr>
            <w:r>
              <w:rPr>
                <w:rFonts w:hint="eastAsia" w:ascii="Calibri" w:hAnsi="Calibri" w:cs="Times New Roman"/>
                <w:sz w:val="24"/>
                <w:szCs w:val="24"/>
              </w:rPr>
              <w:t>SPOC课程名</w:t>
            </w:r>
          </w:p>
        </w:tc>
        <w:tc>
          <w:tcPr>
            <w:tcW w:w="1276"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SPOC开课</w:t>
            </w:r>
          </w:p>
          <w:p>
            <w:pPr>
              <w:jc w:val="center"/>
              <w:rPr>
                <w:rFonts w:ascii="Calibri" w:hAnsi="Calibri" w:cs="Times New Roman"/>
                <w:sz w:val="24"/>
                <w:szCs w:val="24"/>
              </w:rPr>
            </w:pPr>
            <w:r>
              <w:rPr>
                <w:rFonts w:hint="eastAsia" w:ascii="Calibri" w:hAnsi="Calibri" w:cs="Times New Roman"/>
                <w:sz w:val="24"/>
                <w:szCs w:val="24"/>
              </w:rPr>
              <w:t>起止周期</w:t>
            </w:r>
          </w:p>
        </w:tc>
        <w:tc>
          <w:tcPr>
            <w:tcW w:w="708"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选课人数</w:t>
            </w:r>
          </w:p>
        </w:tc>
        <w:tc>
          <w:tcPr>
            <w:tcW w:w="709" w:type="dxa"/>
            <w:tcMar>
              <w:left w:w="57" w:type="dxa"/>
              <w:right w:w="28" w:type="dxa"/>
            </w:tcMar>
            <w:vAlign w:val="center"/>
          </w:tcPr>
          <w:p>
            <w:pPr>
              <w:jc w:val="center"/>
              <w:rPr>
                <w:rFonts w:ascii="Calibri" w:hAnsi="Calibri" w:cs="Times New Roman"/>
                <w:sz w:val="24"/>
                <w:szCs w:val="24"/>
              </w:rPr>
            </w:pPr>
            <w:r>
              <w:rPr>
                <w:rFonts w:hint="eastAsia" w:ascii="Calibri" w:hAnsi="Calibri" w:cs="Times New Roman"/>
                <w:sz w:val="24"/>
                <w:szCs w:val="24"/>
              </w:rPr>
              <w:t>结课人数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648" w:type="dxa"/>
            <w:tcMar>
              <w:left w:w="57" w:type="dxa"/>
              <w:right w:w="28" w:type="dxa"/>
            </w:tcMar>
          </w:tcPr>
          <w:p>
            <w:pPr>
              <w:rPr>
                <w:rFonts w:ascii="Calibri" w:hAnsi="Calibri" w:cs="Times New Roman"/>
                <w:sz w:val="24"/>
                <w:szCs w:val="24"/>
              </w:rPr>
            </w:pPr>
          </w:p>
        </w:tc>
        <w:tc>
          <w:tcPr>
            <w:tcW w:w="851"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9" w:type="dxa"/>
          </w:tcPr>
          <w:p>
            <w:pPr>
              <w:rPr>
                <w:rFonts w:ascii="Calibri" w:hAnsi="Calibri" w:cs="Times New Roman"/>
                <w:sz w:val="24"/>
                <w:szCs w:val="24"/>
              </w:rPr>
            </w:pPr>
          </w:p>
        </w:tc>
        <w:tc>
          <w:tcPr>
            <w:tcW w:w="709" w:type="dxa"/>
          </w:tcPr>
          <w:p>
            <w:pPr>
              <w:rPr>
                <w:rFonts w:ascii="Calibri" w:hAnsi="Calibri" w:cs="Times New Roman"/>
                <w:sz w:val="24"/>
                <w:szCs w:val="24"/>
              </w:rPr>
            </w:pPr>
          </w:p>
        </w:tc>
        <w:tc>
          <w:tcPr>
            <w:tcW w:w="992" w:type="dxa"/>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648" w:type="dxa"/>
            <w:tcMar>
              <w:left w:w="57" w:type="dxa"/>
              <w:right w:w="28" w:type="dxa"/>
            </w:tcMar>
          </w:tcPr>
          <w:p>
            <w:pPr>
              <w:rPr>
                <w:rFonts w:ascii="Calibri" w:hAnsi="Calibri" w:cs="Times New Roman"/>
                <w:sz w:val="24"/>
                <w:szCs w:val="24"/>
              </w:rPr>
            </w:pPr>
          </w:p>
        </w:tc>
        <w:tc>
          <w:tcPr>
            <w:tcW w:w="851"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9" w:type="dxa"/>
          </w:tcPr>
          <w:p>
            <w:pPr>
              <w:rPr>
                <w:rFonts w:ascii="Calibri" w:hAnsi="Calibri" w:cs="Times New Roman"/>
                <w:sz w:val="24"/>
                <w:szCs w:val="24"/>
              </w:rPr>
            </w:pPr>
          </w:p>
        </w:tc>
        <w:tc>
          <w:tcPr>
            <w:tcW w:w="709" w:type="dxa"/>
          </w:tcPr>
          <w:p>
            <w:pPr>
              <w:rPr>
                <w:rFonts w:ascii="Calibri" w:hAnsi="Calibri" w:cs="Times New Roman"/>
                <w:sz w:val="24"/>
                <w:szCs w:val="24"/>
              </w:rPr>
            </w:pPr>
          </w:p>
        </w:tc>
        <w:tc>
          <w:tcPr>
            <w:tcW w:w="992" w:type="dxa"/>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648" w:type="dxa"/>
            <w:tcMar>
              <w:left w:w="57" w:type="dxa"/>
              <w:right w:w="28" w:type="dxa"/>
            </w:tcMar>
          </w:tcPr>
          <w:p>
            <w:pPr>
              <w:rPr>
                <w:rFonts w:ascii="Calibri" w:hAnsi="Calibri" w:cs="Times New Roman"/>
                <w:sz w:val="24"/>
                <w:szCs w:val="24"/>
              </w:rPr>
            </w:pPr>
          </w:p>
        </w:tc>
        <w:tc>
          <w:tcPr>
            <w:tcW w:w="851"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9" w:type="dxa"/>
          </w:tcPr>
          <w:p>
            <w:pPr>
              <w:rPr>
                <w:rFonts w:ascii="Calibri" w:hAnsi="Calibri" w:cs="Times New Roman"/>
                <w:sz w:val="24"/>
                <w:szCs w:val="24"/>
              </w:rPr>
            </w:pPr>
          </w:p>
        </w:tc>
        <w:tc>
          <w:tcPr>
            <w:tcW w:w="709" w:type="dxa"/>
          </w:tcPr>
          <w:p>
            <w:pPr>
              <w:rPr>
                <w:rFonts w:ascii="Calibri" w:hAnsi="Calibri" w:cs="Times New Roman"/>
                <w:sz w:val="24"/>
                <w:szCs w:val="24"/>
              </w:rPr>
            </w:pPr>
          </w:p>
        </w:tc>
        <w:tc>
          <w:tcPr>
            <w:tcW w:w="992" w:type="dxa"/>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tcMar>
              <w:left w:w="57" w:type="dxa"/>
              <w:right w:w="28" w:type="dxa"/>
            </w:tcMar>
          </w:tcPr>
          <w:p>
            <w:pPr>
              <w:rPr>
                <w:rFonts w:ascii="Calibri" w:hAnsi="Calibri" w:cs="Times New Roman"/>
                <w:sz w:val="24"/>
                <w:szCs w:val="24"/>
              </w:rPr>
            </w:pPr>
          </w:p>
        </w:tc>
        <w:tc>
          <w:tcPr>
            <w:tcW w:w="648" w:type="dxa"/>
            <w:tcMar>
              <w:left w:w="57" w:type="dxa"/>
              <w:right w:w="28" w:type="dxa"/>
            </w:tcMar>
          </w:tcPr>
          <w:p>
            <w:pPr>
              <w:rPr>
                <w:rFonts w:ascii="Calibri" w:hAnsi="Calibri" w:cs="Times New Roman"/>
                <w:sz w:val="24"/>
                <w:szCs w:val="24"/>
              </w:rPr>
            </w:pPr>
          </w:p>
        </w:tc>
        <w:tc>
          <w:tcPr>
            <w:tcW w:w="851"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c>
          <w:tcPr>
            <w:tcW w:w="709" w:type="dxa"/>
          </w:tcPr>
          <w:p>
            <w:pPr>
              <w:rPr>
                <w:rFonts w:ascii="Calibri" w:hAnsi="Calibri" w:cs="Times New Roman"/>
                <w:sz w:val="24"/>
                <w:szCs w:val="24"/>
              </w:rPr>
            </w:pPr>
          </w:p>
        </w:tc>
        <w:tc>
          <w:tcPr>
            <w:tcW w:w="709" w:type="dxa"/>
          </w:tcPr>
          <w:p>
            <w:pPr>
              <w:rPr>
                <w:rFonts w:ascii="Calibri" w:hAnsi="Calibri" w:cs="Times New Roman"/>
                <w:sz w:val="24"/>
                <w:szCs w:val="24"/>
              </w:rPr>
            </w:pPr>
          </w:p>
        </w:tc>
        <w:tc>
          <w:tcPr>
            <w:tcW w:w="992" w:type="dxa"/>
          </w:tcPr>
          <w:p>
            <w:pPr>
              <w:rPr>
                <w:rFonts w:ascii="Calibri" w:hAnsi="Calibri" w:cs="Times New Roman"/>
                <w:sz w:val="24"/>
                <w:szCs w:val="24"/>
              </w:rPr>
            </w:pPr>
          </w:p>
        </w:tc>
        <w:tc>
          <w:tcPr>
            <w:tcW w:w="1276" w:type="dxa"/>
            <w:tcMar>
              <w:left w:w="57" w:type="dxa"/>
              <w:right w:w="28" w:type="dxa"/>
            </w:tcMar>
          </w:tcPr>
          <w:p>
            <w:pPr>
              <w:rPr>
                <w:rFonts w:ascii="Calibri" w:hAnsi="Calibri" w:cs="Times New Roman"/>
                <w:sz w:val="24"/>
                <w:szCs w:val="24"/>
              </w:rPr>
            </w:pPr>
          </w:p>
        </w:tc>
        <w:tc>
          <w:tcPr>
            <w:tcW w:w="708" w:type="dxa"/>
            <w:tcMar>
              <w:left w:w="57" w:type="dxa"/>
              <w:right w:w="28" w:type="dxa"/>
            </w:tcMar>
          </w:tcPr>
          <w:p>
            <w:pPr>
              <w:rPr>
                <w:rFonts w:ascii="Calibri" w:hAnsi="Calibri" w:cs="Times New Roman"/>
                <w:sz w:val="24"/>
                <w:szCs w:val="24"/>
              </w:rPr>
            </w:pPr>
          </w:p>
        </w:tc>
        <w:tc>
          <w:tcPr>
            <w:tcW w:w="709" w:type="dxa"/>
            <w:tcMar>
              <w:left w:w="57" w:type="dxa"/>
              <w:right w:w="28" w:type="dxa"/>
            </w:tcMar>
          </w:tcPr>
          <w:p>
            <w:pPr>
              <w:rPr>
                <w:rFonts w:ascii="Calibri" w:hAnsi="Calibri" w:cs="Times New Roman"/>
                <w:sz w:val="24"/>
                <w:szCs w:val="24"/>
              </w:rPr>
            </w:pPr>
          </w:p>
        </w:tc>
      </w:tr>
    </w:tbl>
    <w:p>
      <w:pPr>
        <w:rPr>
          <w:rFonts w:ascii="仿宋" w:hAnsi="仿宋" w:eastAsia="仿宋" w:cs="Times New Roman"/>
          <w:szCs w:val="21"/>
        </w:rPr>
      </w:pPr>
      <w:r>
        <w:rPr>
          <w:rFonts w:hint="eastAsia" w:ascii="仿宋" w:hAnsi="仿宋" w:eastAsia="仿宋" w:cs="Times New Roman"/>
          <w:szCs w:val="21"/>
        </w:rPr>
        <w:t>说明：(</w:t>
      </w:r>
      <w:r>
        <w:rPr>
          <w:rFonts w:ascii="仿宋" w:hAnsi="仿宋" w:eastAsia="仿宋" w:cs="Times New Roman"/>
          <w:szCs w:val="21"/>
        </w:rPr>
        <w:t>1)</w:t>
      </w:r>
      <w:r>
        <w:rPr>
          <w:rFonts w:hint="eastAsia" w:ascii="仿宋" w:hAnsi="仿宋" w:eastAsia="仿宋" w:cs="Times New Roman"/>
          <w:szCs w:val="21"/>
        </w:rPr>
        <w:t>以学校和引进慕课课程为单位汇总。【选课人数】【结课人数】是对应学校学生选择引进慕课课程的人数。如有SPOC课程，则填写【S</w:t>
      </w:r>
      <w:r>
        <w:rPr>
          <w:rFonts w:ascii="仿宋" w:hAnsi="仿宋" w:eastAsia="仿宋" w:cs="Times New Roman"/>
          <w:szCs w:val="21"/>
        </w:rPr>
        <w:t>POC</w:t>
      </w:r>
      <w:r>
        <w:rPr>
          <w:rFonts w:hint="eastAsia" w:ascii="仿宋" w:hAnsi="仿宋" w:eastAsia="仿宋" w:cs="Times New Roman"/>
          <w:szCs w:val="21"/>
        </w:rPr>
        <w:t>课程名】和【SPOC开课起止日期】，选课人数和结课人数则为S</w:t>
      </w:r>
      <w:r>
        <w:rPr>
          <w:rFonts w:ascii="仿宋" w:hAnsi="仿宋" w:eastAsia="仿宋" w:cs="Times New Roman"/>
          <w:szCs w:val="21"/>
        </w:rPr>
        <w:t>POC</w:t>
      </w:r>
      <w:r>
        <w:rPr>
          <w:rFonts w:hint="eastAsia" w:ascii="仿宋" w:hAnsi="仿宋" w:eastAsia="仿宋" w:cs="Times New Roman"/>
          <w:szCs w:val="21"/>
        </w:rPr>
        <w:t>课程中的人数。【见面课次数】和【见面课人数】是指对应学校组织的慕课负责人与本校学生的见面课。</w:t>
      </w:r>
    </w:p>
    <w:p>
      <w:pPr>
        <w:rPr>
          <w:rFonts w:ascii="Calibri" w:hAnsi="Calibri" w:cs="Times New Roman"/>
          <w:sz w:val="24"/>
          <w:szCs w:val="24"/>
        </w:rPr>
      </w:pPr>
    </w:p>
    <w:p>
      <w:pPr>
        <w:rPr>
          <w:rFonts w:ascii="Calibri" w:hAnsi="Calibri" w:cs="Times New Roman"/>
          <w:sz w:val="24"/>
          <w:szCs w:val="24"/>
        </w:rPr>
      </w:pPr>
    </w:p>
    <w:p>
      <w:pPr>
        <w:jc w:val="center"/>
        <w:rPr>
          <w:rFonts w:ascii="黑体" w:hAnsi="黑体" w:eastAsia="黑体" w:cs="Times New Roman"/>
          <w:sz w:val="30"/>
          <w:szCs w:val="30"/>
        </w:rPr>
      </w:pPr>
      <w:r>
        <w:rPr>
          <w:rFonts w:hint="eastAsia" w:ascii="黑体" w:hAnsi="黑体" w:eastAsia="黑体" w:cs="Times New Roman"/>
          <w:sz w:val="30"/>
          <w:szCs w:val="30"/>
        </w:rPr>
        <w:t>表5</w:t>
      </w:r>
      <w:r>
        <w:rPr>
          <w:rFonts w:ascii="黑体" w:hAnsi="黑体" w:eastAsia="黑体" w:cs="Times New Roman"/>
          <w:sz w:val="30"/>
          <w:szCs w:val="30"/>
        </w:rPr>
        <w:t xml:space="preserve">  </w:t>
      </w:r>
      <w:r>
        <w:rPr>
          <w:rFonts w:hint="eastAsia" w:ascii="黑体" w:hAnsi="黑体" w:eastAsia="黑体" w:cs="Times New Roman"/>
          <w:sz w:val="30"/>
          <w:szCs w:val="30"/>
        </w:rPr>
        <w:t>教师-在线开放课程基本数据表</w:t>
      </w:r>
    </w:p>
    <w:p>
      <w:pPr>
        <w:spacing w:line="480" w:lineRule="auto"/>
        <w:ind w:right="28"/>
        <w:jc w:val="left"/>
        <w:rPr>
          <w:rFonts w:ascii="黑体" w:hAnsi="方正小标宋_GBK" w:eastAsia="黑体" w:cs="Times New Roman"/>
          <w:sz w:val="24"/>
          <w:szCs w:val="24"/>
        </w:rPr>
      </w:pPr>
      <w:r>
        <w:rPr>
          <w:rFonts w:hint="eastAsia" w:ascii="黑体" w:hAnsi="方正小标宋_GBK" w:eastAsia="黑体" w:cs="Times New Roman"/>
          <w:kern w:val="0"/>
          <w:sz w:val="24"/>
          <w:szCs w:val="24"/>
        </w:rPr>
        <w:t>开课平台名称（盖章）________________________</w:t>
      </w:r>
    </w:p>
    <w:tbl>
      <w:tblPr>
        <w:tblStyle w:val="9"/>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359"/>
        <w:gridCol w:w="42"/>
        <w:gridCol w:w="627"/>
        <w:gridCol w:w="203"/>
        <w:gridCol w:w="721"/>
        <w:gridCol w:w="512"/>
        <w:gridCol w:w="1081"/>
        <w:gridCol w:w="152"/>
        <w:gridCol w:w="1233"/>
        <w:gridCol w:w="209"/>
        <w:gridCol w:w="1024"/>
        <w:gridCol w:w="721"/>
        <w:gridCol w:w="102"/>
        <w:gridCol w:w="41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33" w:type="dxa"/>
            <w:gridSpan w:val="3"/>
            <w:vAlign w:val="center"/>
          </w:tcPr>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姓    名</w:t>
            </w:r>
          </w:p>
        </w:tc>
        <w:tc>
          <w:tcPr>
            <w:tcW w:w="3296" w:type="dxa"/>
            <w:gridSpan w:val="6"/>
            <w:vAlign w:val="center"/>
          </w:tcPr>
          <w:p>
            <w:pPr>
              <w:spacing w:line="360" w:lineRule="auto"/>
              <w:jc w:val="center"/>
              <w:rPr>
                <w:rFonts w:ascii="Times New Roman" w:hAnsi="Times New Roman" w:cs="Times New Roman"/>
                <w:b/>
                <w:bCs/>
                <w:sz w:val="24"/>
                <w:szCs w:val="24"/>
              </w:rPr>
            </w:pPr>
          </w:p>
        </w:tc>
        <w:tc>
          <w:tcPr>
            <w:tcW w:w="1442" w:type="dxa"/>
            <w:gridSpan w:val="2"/>
            <w:vAlign w:val="center"/>
          </w:tcPr>
          <w:p>
            <w:pPr>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学    校</w:t>
            </w:r>
          </w:p>
        </w:tc>
        <w:tc>
          <w:tcPr>
            <w:tcW w:w="3494" w:type="dxa"/>
            <w:gridSpan w:val="5"/>
            <w:vAlign w:val="center"/>
          </w:tcPr>
          <w:p>
            <w:pPr>
              <w:spacing w:line="360" w:lineRule="auto"/>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0" w:type="dxa"/>
            <w:gridSpan w:val="4"/>
            <w:vAlign w:val="center"/>
          </w:tcPr>
          <w:p>
            <w:pPr>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平台联系人及电话</w:t>
            </w:r>
          </w:p>
        </w:tc>
        <w:tc>
          <w:tcPr>
            <w:tcW w:w="7605" w:type="dxa"/>
            <w:gridSpan w:val="12"/>
            <w:vAlign w:val="center"/>
          </w:tcPr>
          <w:p>
            <w:pPr>
              <w:spacing w:line="360" w:lineRule="auto"/>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865" w:type="dxa"/>
            <w:gridSpan w:val="16"/>
            <w:vAlign w:val="center"/>
          </w:tcPr>
          <w:p>
            <w:pPr>
              <w:spacing w:line="240" w:lineRule="atLeast"/>
              <w:jc w:val="center"/>
              <w:rPr>
                <w:rFonts w:ascii="Times New Roman" w:hAnsi="Times New Roman" w:cs="Times New Roman"/>
                <w:b/>
                <w:bCs/>
                <w:color w:val="FF0000"/>
                <w:sz w:val="24"/>
                <w:szCs w:val="24"/>
              </w:rPr>
            </w:pPr>
            <w:r>
              <w:rPr>
                <w:rFonts w:hint="eastAsia" w:ascii="Times New Roman" w:hAnsi="Times New Roman" w:cs="Times New Roman"/>
                <w:b/>
                <w:bCs/>
                <w:sz w:val="24"/>
                <w:szCs w:val="24"/>
              </w:rPr>
              <w:t>课程在线开放数据累计值（下列数据按教师统计课程/期次数据的累计值）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开设在线开放课程门数</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开设在线课程总学期数</w:t>
            </w:r>
          </w:p>
        </w:tc>
        <w:tc>
          <w:tcPr>
            <w:tcW w:w="1594" w:type="dxa"/>
            <w:gridSpan w:val="3"/>
            <w:vAlign w:val="center"/>
          </w:tcPr>
          <w:p>
            <w:pPr>
              <w:spacing w:line="360" w:lineRule="auto"/>
              <w:jc w:val="center"/>
              <w:rPr>
                <w:rFonts w:ascii="Times New Roman" w:hAnsi="Times New Roman" w:cs="Times New Roman"/>
                <w:b/>
                <w:bCs/>
                <w:sz w:val="24"/>
                <w:szCs w:val="24"/>
              </w:rPr>
            </w:pPr>
          </w:p>
        </w:tc>
        <w:tc>
          <w:tcPr>
            <w:tcW w:w="1847"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在线课程累计选课总人数</w:t>
            </w:r>
          </w:p>
        </w:tc>
        <w:tc>
          <w:tcPr>
            <w:tcW w:w="1647" w:type="dxa"/>
            <w:gridSpan w:val="2"/>
            <w:vAlign w:val="center"/>
          </w:tcPr>
          <w:p>
            <w:pPr>
              <w:spacing w:line="360" w:lineRule="auto"/>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在线课程选用学校总数</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在线课程累计帖子总数</w:t>
            </w:r>
          </w:p>
        </w:tc>
        <w:tc>
          <w:tcPr>
            <w:tcW w:w="1594" w:type="dxa"/>
            <w:gridSpan w:val="3"/>
            <w:vAlign w:val="center"/>
          </w:tcPr>
          <w:p>
            <w:pPr>
              <w:spacing w:line="360" w:lineRule="auto"/>
              <w:jc w:val="center"/>
              <w:rPr>
                <w:rFonts w:ascii="Times New Roman" w:hAnsi="Times New Roman" w:cs="Times New Roman"/>
                <w:b/>
                <w:bCs/>
                <w:sz w:val="24"/>
                <w:szCs w:val="24"/>
              </w:rPr>
            </w:pPr>
          </w:p>
        </w:tc>
        <w:tc>
          <w:tcPr>
            <w:tcW w:w="1847"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在线课程累计结课总人数</w:t>
            </w:r>
          </w:p>
        </w:tc>
        <w:tc>
          <w:tcPr>
            <w:tcW w:w="1647" w:type="dxa"/>
            <w:gridSpan w:val="2"/>
            <w:vAlign w:val="center"/>
          </w:tcPr>
          <w:p>
            <w:pPr>
              <w:spacing w:line="360" w:lineRule="auto"/>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65" w:type="dxa"/>
            <w:gridSpan w:val="16"/>
            <w:vAlign w:val="center"/>
          </w:tcPr>
          <w:p>
            <w:pPr>
              <w:spacing w:line="240" w:lineRule="atLeast"/>
              <w:jc w:val="center"/>
              <w:rPr>
                <w:rFonts w:ascii="Times New Roman" w:hAnsi="Times New Roman" w:cs="Times New Roman"/>
                <w:b/>
                <w:bCs/>
                <w:color w:val="FF0000"/>
                <w:sz w:val="24"/>
                <w:szCs w:val="24"/>
              </w:rPr>
            </w:pPr>
            <w:r>
              <w:rPr>
                <w:rFonts w:hint="eastAsia" w:ascii="Times New Roman" w:hAnsi="Times New Roman" w:cs="Times New Roman"/>
                <w:b/>
                <w:bCs/>
                <w:sz w:val="24"/>
                <w:szCs w:val="24"/>
              </w:rPr>
              <w:t>课程资源建设数据（下列数据按每门课统计，不够可另加行）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1232" w:type="dxa"/>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课程名称</w:t>
            </w:r>
          </w:p>
        </w:tc>
        <w:tc>
          <w:tcPr>
            <w:tcW w:w="1231" w:type="dxa"/>
            <w:gridSpan w:val="4"/>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视频总数量（个）</w:t>
            </w:r>
          </w:p>
        </w:tc>
        <w:tc>
          <w:tcPr>
            <w:tcW w:w="1233" w:type="dxa"/>
            <w:gridSpan w:val="2"/>
            <w:vAlign w:val="center"/>
          </w:tcPr>
          <w:p>
            <w:pPr>
              <w:spacing w:line="240" w:lineRule="atLeast"/>
              <w:rPr>
                <w:rFonts w:ascii="Times New Roman" w:hAnsi="Times New Roman" w:cs="Times New Roman"/>
                <w:b/>
                <w:bCs/>
                <w:sz w:val="24"/>
                <w:szCs w:val="24"/>
              </w:rPr>
            </w:pPr>
            <w:r>
              <w:rPr>
                <w:rFonts w:hint="eastAsia" w:ascii="Times New Roman" w:hAnsi="Times New Roman" w:cs="Times New Roman"/>
                <w:b/>
                <w:bCs/>
                <w:sz w:val="24"/>
                <w:szCs w:val="24"/>
              </w:rPr>
              <w:t>视频总时长（分钟）</w:t>
            </w:r>
          </w:p>
        </w:tc>
        <w:tc>
          <w:tcPr>
            <w:tcW w:w="123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18"/>
                <w:szCs w:val="18"/>
              </w:rPr>
              <w:t>文档/其他教学资源数量</w:t>
            </w:r>
            <w:r>
              <w:rPr>
                <w:rFonts w:hint="eastAsia" w:ascii="Times New Roman" w:hAnsi="Times New Roman" w:cs="Times New Roman"/>
                <w:b/>
                <w:bCs/>
                <w:sz w:val="24"/>
                <w:szCs w:val="24"/>
              </w:rPr>
              <w:t>（个）</w:t>
            </w:r>
          </w:p>
        </w:tc>
        <w:tc>
          <w:tcPr>
            <w:tcW w:w="1233" w:type="dxa"/>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测试题数量（道）</w:t>
            </w:r>
          </w:p>
        </w:tc>
        <w:tc>
          <w:tcPr>
            <w:tcW w:w="123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18"/>
                <w:szCs w:val="18"/>
              </w:rPr>
              <w:t>教师发布讨论话题数量</w:t>
            </w:r>
            <w:r>
              <w:rPr>
                <w:rFonts w:hint="eastAsia" w:ascii="Times New Roman" w:hAnsi="Times New Roman" w:cs="Times New Roman"/>
                <w:b/>
                <w:bCs/>
                <w:sz w:val="24"/>
                <w:szCs w:val="24"/>
              </w:rPr>
              <w:t>（个）</w:t>
            </w:r>
          </w:p>
        </w:tc>
        <w:tc>
          <w:tcPr>
            <w:tcW w:w="1233"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18"/>
                <w:szCs w:val="18"/>
              </w:rPr>
              <w:t>教师发布互评作业数量</w:t>
            </w:r>
            <w:r>
              <w:rPr>
                <w:rFonts w:hint="eastAsia" w:ascii="Times New Roman" w:hAnsi="Times New Roman" w:cs="Times New Roman"/>
                <w:b/>
                <w:bCs/>
                <w:sz w:val="24"/>
                <w:szCs w:val="24"/>
              </w:rPr>
              <w:t>（个）</w:t>
            </w:r>
          </w:p>
        </w:tc>
        <w:tc>
          <w:tcPr>
            <w:tcW w:w="1237" w:type="dxa"/>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232" w:type="dxa"/>
            <w:vAlign w:val="center"/>
          </w:tcPr>
          <w:p>
            <w:pPr>
              <w:spacing w:line="240" w:lineRule="atLeast"/>
              <w:jc w:val="center"/>
              <w:rPr>
                <w:rFonts w:ascii="Times New Roman" w:hAnsi="Times New Roman" w:cs="Times New Roman"/>
                <w:b/>
                <w:bCs/>
                <w:sz w:val="24"/>
                <w:szCs w:val="24"/>
              </w:rPr>
            </w:pPr>
          </w:p>
        </w:tc>
        <w:tc>
          <w:tcPr>
            <w:tcW w:w="1231" w:type="dxa"/>
            <w:gridSpan w:val="4"/>
            <w:vAlign w:val="center"/>
          </w:tcPr>
          <w:p>
            <w:pPr>
              <w:spacing w:line="360" w:lineRule="auto"/>
              <w:jc w:val="center"/>
              <w:rPr>
                <w:rFonts w:ascii="Times New Roman" w:hAnsi="Times New Roman" w:cs="Times New Roman"/>
                <w:b/>
                <w:bCs/>
                <w:sz w:val="24"/>
                <w:szCs w:val="24"/>
              </w:rPr>
            </w:pPr>
          </w:p>
        </w:tc>
        <w:tc>
          <w:tcPr>
            <w:tcW w:w="1233" w:type="dxa"/>
            <w:gridSpan w:val="2"/>
            <w:vAlign w:val="center"/>
          </w:tcPr>
          <w:p>
            <w:pPr>
              <w:spacing w:line="240" w:lineRule="atLeast"/>
              <w:jc w:val="center"/>
              <w:rPr>
                <w:rFonts w:ascii="Times New Roman" w:hAnsi="Times New Roman" w:cs="Times New Roman"/>
                <w:b/>
                <w:bCs/>
                <w:sz w:val="24"/>
                <w:szCs w:val="24"/>
              </w:rPr>
            </w:pPr>
          </w:p>
        </w:tc>
        <w:tc>
          <w:tcPr>
            <w:tcW w:w="1233" w:type="dxa"/>
            <w:gridSpan w:val="2"/>
            <w:vAlign w:val="center"/>
          </w:tcPr>
          <w:p>
            <w:pPr>
              <w:spacing w:line="240" w:lineRule="atLeast"/>
              <w:jc w:val="center"/>
              <w:rPr>
                <w:rFonts w:ascii="Times New Roman" w:hAnsi="Times New Roman" w:cs="Times New Roman"/>
                <w:b/>
                <w:bCs/>
                <w:sz w:val="24"/>
                <w:szCs w:val="24"/>
              </w:rPr>
            </w:pPr>
          </w:p>
        </w:tc>
        <w:tc>
          <w:tcPr>
            <w:tcW w:w="1233" w:type="dxa"/>
            <w:vAlign w:val="center"/>
          </w:tcPr>
          <w:p>
            <w:pPr>
              <w:spacing w:line="240" w:lineRule="atLeast"/>
              <w:jc w:val="center"/>
              <w:rPr>
                <w:rFonts w:ascii="Times New Roman" w:hAnsi="Times New Roman" w:cs="Times New Roman"/>
                <w:b/>
                <w:bCs/>
                <w:sz w:val="24"/>
                <w:szCs w:val="24"/>
              </w:rPr>
            </w:pPr>
          </w:p>
        </w:tc>
        <w:tc>
          <w:tcPr>
            <w:tcW w:w="1233" w:type="dxa"/>
            <w:gridSpan w:val="2"/>
            <w:vAlign w:val="center"/>
          </w:tcPr>
          <w:p>
            <w:pPr>
              <w:spacing w:line="240" w:lineRule="atLeast"/>
              <w:jc w:val="center"/>
              <w:rPr>
                <w:rFonts w:ascii="Times New Roman" w:hAnsi="Times New Roman" w:cs="Times New Roman"/>
                <w:b/>
                <w:bCs/>
                <w:sz w:val="24"/>
                <w:szCs w:val="24"/>
              </w:rPr>
            </w:pPr>
          </w:p>
        </w:tc>
        <w:tc>
          <w:tcPr>
            <w:tcW w:w="1233" w:type="dxa"/>
            <w:gridSpan w:val="3"/>
            <w:vAlign w:val="center"/>
          </w:tcPr>
          <w:p>
            <w:pPr>
              <w:spacing w:line="240" w:lineRule="atLeast"/>
              <w:jc w:val="center"/>
              <w:rPr>
                <w:rFonts w:ascii="Times New Roman" w:hAnsi="Times New Roman" w:cs="Times New Roman"/>
                <w:b/>
                <w:bCs/>
                <w:sz w:val="24"/>
                <w:szCs w:val="24"/>
              </w:rPr>
            </w:pPr>
          </w:p>
        </w:tc>
        <w:tc>
          <w:tcPr>
            <w:tcW w:w="1237" w:type="dxa"/>
            <w:vAlign w:val="center"/>
          </w:tcPr>
          <w:p>
            <w:pPr>
              <w:spacing w:line="240" w:lineRule="atLeast"/>
              <w:jc w:val="center"/>
              <w:rPr>
                <w:rFonts w:ascii="Times New Roman" w:hAnsi="Times New Roman" w:cs="Times New Roman"/>
                <w:b/>
                <w:bCs/>
                <w:sz w:val="24"/>
                <w:szCs w:val="24"/>
              </w:rPr>
            </w:pPr>
          </w:p>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865" w:type="dxa"/>
            <w:gridSpan w:val="16"/>
            <w:vAlign w:val="center"/>
          </w:tcPr>
          <w:p>
            <w:pPr>
              <w:spacing w:line="240" w:lineRule="atLeast"/>
              <w:jc w:val="center"/>
              <w:rPr>
                <w:rFonts w:ascii="Times New Roman" w:hAnsi="Times New Roman" w:cs="Times New Roman"/>
                <w:b/>
                <w:bCs/>
                <w:color w:val="FF0000"/>
                <w:sz w:val="24"/>
                <w:szCs w:val="24"/>
              </w:rPr>
            </w:pPr>
            <w:r>
              <w:rPr>
                <w:rFonts w:hint="eastAsia" w:ascii="Times New Roman" w:hAnsi="Times New Roman" w:cs="Times New Roman"/>
                <w:b/>
                <w:bCs/>
                <w:sz w:val="24"/>
                <w:szCs w:val="24"/>
              </w:rPr>
              <w:t>课程开放数据（下列数据按每门课每期次统计，不够可另加行，按期次序号对应）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课程期次</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序号</w:t>
            </w:r>
          </w:p>
        </w:tc>
        <w:tc>
          <w:tcPr>
            <w:tcW w:w="1593" w:type="dxa"/>
            <w:gridSpan w:val="4"/>
            <w:vAlign w:val="center"/>
          </w:tcPr>
          <w:p>
            <w:pPr>
              <w:spacing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课程名称</w:t>
            </w:r>
          </w:p>
        </w:tc>
        <w:tc>
          <w:tcPr>
            <w:tcW w:w="159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期次</w:t>
            </w:r>
          </w:p>
        </w:tc>
        <w:tc>
          <w:tcPr>
            <w:tcW w:w="1594"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起始日期-</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截止日期</w:t>
            </w:r>
          </w:p>
        </w:tc>
        <w:tc>
          <w:tcPr>
            <w:tcW w:w="3494" w:type="dxa"/>
            <w:gridSpan w:val="5"/>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课程期次链接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1</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p>
        </w:tc>
        <w:tc>
          <w:tcPr>
            <w:tcW w:w="1594" w:type="dxa"/>
            <w:gridSpan w:val="3"/>
            <w:vAlign w:val="center"/>
          </w:tcPr>
          <w:p>
            <w:pPr>
              <w:spacing w:line="240" w:lineRule="atLeast"/>
              <w:jc w:val="center"/>
              <w:rPr>
                <w:rFonts w:ascii="Times New Roman" w:hAnsi="Times New Roman" w:cs="Times New Roman"/>
                <w:b/>
                <w:bCs/>
                <w:sz w:val="24"/>
                <w:szCs w:val="24"/>
              </w:rPr>
            </w:pPr>
          </w:p>
        </w:tc>
        <w:tc>
          <w:tcPr>
            <w:tcW w:w="3494" w:type="dxa"/>
            <w:gridSpan w:val="5"/>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p>
        </w:tc>
        <w:tc>
          <w:tcPr>
            <w:tcW w:w="1594" w:type="dxa"/>
            <w:gridSpan w:val="3"/>
            <w:vAlign w:val="center"/>
          </w:tcPr>
          <w:p>
            <w:pPr>
              <w:spacing w:line="240" w:lineRule="atLeast"/>
              <w:jc w:val="center"/>
              <w:rPr>
                <w:rFonts w:ascii="Times New Roman" w:hAnsi="Times New Roman" w:cs="Times New Roman"/>
                <w:b/>
                <w:bCs/>
                <w:sz w:val="24"/>
                <w:szCs w:val="24"/>
              </w:rPr>
            </w:pPr>
          </w:p>
        </w:tc>
        <w:tc>
          <w:tcPr>
            <w:tcW w:w="3494" w:type="dxa"/>
            <w:gridSpan w:val="5"/>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课程期次</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序号</w:t>
            </w:r>
          </w:p>
        </w:tc>
        <w:tc>
          <w:tcPr>
            <w:tcW w:w="1593" w:type="dxa"/>
            <w:gridSpan w:val="4"/>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本期选课</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人数</w:t>
            </w:r>
          </w:p>
        </w:tc>
        <w:tc>
          <w:tcPr>
            <w:tcW w:w="159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本期结课</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人数</w:t>
            </w:r>
          </w:p>
        </w:tc>
        <w:tc>
          <w:tcPr>
            <w:tcW w:w="1594"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本期考核</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次数</w:t>
            </w:r>
          </w:p>
        </w:tc>
        <w:tc>
          <w:tcPr>
            <w:tcW w:w="1745"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单次考核最低题目数（道）</w:t>
            </w:r>
          </w:p>
        </w:tc>
        <w:tc>
          <w:tcPr>
            <w:tcW w:w="1749"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本期讨论发帖跟帖总数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1</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p>
        </w:tc>
        <w:tc>
          <w:tcPr>
            <w:tcW w:w="1594" w:type="dxa"/>
            <w:gridSpan w:val="3"/>
            <w:vAlign w:val="center"/>
          </w:tcPr>
          <w:p>
            <w:pPr>
              <w:spacing w:line="240" w:lineRule="atLeast"/>
              <w:jc w:val="center"/>
              <w:rPr>
                <w:rFonts w:ascii="Times New Roman" w:hAnsi="Times New Roman" w:cs="Times New Roman"/>
                <w:b/>
                <w:bCs/>
                <w:sz w:val="24"/>
                <w:szCs w:val="24"/>
              </w:rPr>
            </w:pPr>
          </w:p>
        </w:tc>
        <w:tc>
          <w:tcPr>
            <w:tcW w:w="1745" w:type="dxa"/>
            <w:gridSpan w:val="2"/>
            <w:vAlign w:val="center"/>
          </w:tcPr>
          <w:p>
            <w:pPr>
              <w:spacing w:line="240" w:lineRule="atLeast"/>
              <w:jc w:val="center"/>
              <w:rPr>
                <w:rFonts w:ascii="Times New Roman" w:hAnsi="Times New Roman" w:cs="Times New Roman"/>
                <w:b/>
                <w:bCs/>
                <w:sz w:val="24"/>
                <w:szCs w:val="24"/>
              </w:rPr>
            </w:pPr>
          </w:p>
        </w:tc>
        <w:tc>
          <w:tcPr>
            <w:tcW w:w="1749" w:type="dxa"/>
            <w:gridSpan w:val="3"/>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p>
        </w:tc>
        <w:tc>
          <w:tcPr>
            <w:tcW w:w="1594" w:type="dxa"/>
            <w:gridSpan w:val="3"/>
            <w:vAlign w:val="center"/>
          </w:tcPr>
          <w:p>
            <w:pPr>
              <w:spacing w:line="240" w:lineRule="atLeast"/>
              <w:jc w:val="center"/>
              <w:rPr>
                <w:rFonts w:ascii="Times New Roman" w:hAnsi="Times New Roman" w:cs="Times New Roman"/>
                <w:b/>
                <w:bCs/>
                <w:sz w:val="24"/>
                <w:szCs w:val="24"/>
              </w:rPr>
            </w:pPr>
          </w:p>
        </w:tc>
        <w:tc>
          <w:tcPr>
            <w:tcW w:w="1745" w:type="dxa"/>
            <w:gridSpan w:val="2"/>
            <w:vAlign w:val="center"/>
          </w:tcPr>
          <w:p>
            <w:pPr>
              <w:spacing w:line="240" w:lineRule="atLeast"/>
              <w:jc w:val="center"/>
              <w:rPr>
                <w:rFonts w:ascii="Times New Roman" w:hAnsi="Times New Roman" w:cs="Times New Roman"/>
                <w:b/>
                <w:bCs/>
                <w:sz w:val="24"/>
                <w:szCs w:val="24"/>
              </w:rPr>
            </w:pPr>
          </w:p>
        </w:tc>
        <w:tc>
          <w:tcPr>
            <w:tcW w:w="1749" w:type="dxa"/>
            <w:gridSpan w:val="3"/>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课程期次</w:t>
            </w:r>
          </w:p>
          <w:p>
            <w:pPr>
              <w:spacing w:line="240" w:lineRule="atLeast"/>
              <w:jc w:val="center"/>
              <w:rPr>
                <w:rFonts w:ascii="Times New Roman" w:hAnsi="Times New Roman" w:cs="Times New Roman"/>
                <w:b/>
                <w:bCs/>
                <w:color w:val="BFBFBF" w:themeColor="background1" w:themeShade="BF"/>
                <w:sz w:val="24"/>
                <w:szCs w:val="24"/>
              </w:rPr>
            </w:pPr>
            <w:r>
              <w:rPr>
                <w:rFonts w:hint="eastAsia" w:ascii="Times New Roman" w:hAnsi="Times New Roman" w:cs="Times New Roman"/>
                <w:b/>
                <w:bCs/>
                <w:sz w:val="24"/>
                <w:szCs w:val="24"/>
              </w:rPr>
              <w:t>序号</w:t>
            </w:r>
          </w:p>
        </w:tc>
        <w:tc>
          <w:tcPr>
            <w:tcW w:w="1593" w:type="dxa"/>
            <w:gridSpan w:val="4"/>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教师发帖回帖总次数</w:t>
            </w:r>
          </w:p>
        </w:tc>
        <w:tc>
          <w:tcPr>
            <w:tcW w:w="1593"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参与互动</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人数（人）</w:t>
            </w:r>
          </w:p>
        </w:tc>
        <w:tc>
          <w:tcPr>
            <w:tcW w:w="1594" w:type="dxa"/>
            <w:gridSpan w:val="3"/>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视频观看总次数</w:t>
            </w:r>
          </w:p>
        </w:tc>
        <w:tc>
          <w:tcPr>
            <w:tcW w:w="1745" w:type="dxa"/>
            <w:gridSpan w:val="2"/>
            <w:vAlign w:val="center"/>
          </w:tcPr>
          <w:p>
            <w:pPr>
              <w:spacing w:line="240" w:lineRule="atLeast"/>
              <w:jc w:val="center"/>
              <w:rPr>
                <w:rFonts w:ascii="Times New Roman" w:hAnsi="Times New Roman" w:cs="Times New Roman"/>
                <w:b/>
                <w:bCs/>
                <w:sz w:val="18"/>
                <w:szCs w:val="18"/>
              </w:rPr>
            </w:pPr>
          </w:p>
        </w:tc>
        <w:tc>
          <w:tcPr>
            <w:tcW w:w="1749" w:type="dxa"/>
            <w:gridSpan w:val="3"/>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1</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p>
        </w:tc>
        <w:tc>
          <w:tcPr>
            <w:tcW w:w="1594" w:type="dxa"/>
            <w:gridSpan w:val="3"/>
            <w:vAlign w:val="center"/>
          </w:tcPr>
          <w:p>
            <w:pPr>
              <w:spacing w:line="240" w:lineRule="atLeast"/>
              <w:jc w:val="center"/>
              <w:rPr>
                <w:rFonts w:ascii="Times New Roman" w:hAnsi="Times New Roman" w:cs="Times New Roman"/>
                <w:b/>
                <w:bCs/>
                <w:sz w:val="24"/>
                <w:szCs w:val="24"/>
              </w:rPr>
            </w:pPr>
          </w:p>
        </w:tc>
        <w:tc>
          <w:tcPr>
            <w:tcW w:w="1745" w:type="dxa"/>
            <w:gridSpan w:val="2"/>
            <w:vAlign w:val="center"/>
          </w:tcPr>
          <w:p>
            <w:pPr>
              <w:spacing w:line="240" w:lineRule="atLeast"/>
              <w:jc w:val="center"/>
              <w:rPr>
                <w:rFonts w:ascii="Times New Roman" w:hAnsi="Times New Roman" w:cs="Times New Roman"/>
                <w:b/>
                <w:bCs/>
                <w:sz w:val="24"/>
                <w:szCs w:val="24"/>
              </w:rPr>
            </w:pPr>
          </w:p>
        </w:tc>
        <w:tc>
          <w:tcPr>
            <w:tcW w:w="1749" w:type="dxa"/>
            <w:gridSpan w:val="3"/>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593" w:type="dxa"/>
            <w:gridSpan w:val="4"/>
            <w:vAlign w:val="center"/>
          </w:tcPr>
          <w:p>
            <w:pPr>
              <w:spacing w:line="360" w:lineRule="auto"/>
              <w:jc w:val="center"/>
              <w:rPr>
                <w:rFonts w:ascii="Times New Roman" w:hAnsi="Times New Roman" w:cs="Times New Roman"/>
                <w:b/>
                <w:bCs/>
                <w:sz w:val="24"/>
                <w:szCs w:val="24"/>
              </w:rPr>
            </w:pPr>
          </w:p>
        </w:tc>
        <w:tc>
          <w:tcPr>
            <w:tcW w:w="1593" w:type="dxa"/>
            <w:gridSpan w:val="2"/>
            <w:vAlign w:val="center"/>
          </w:tcPr>
          <w:p>
            <w:pPr>
              <w:spacing w:line="240" w:lineRule="atLeast"/>
              <w:jc w:val="center"/>
              <w:rPr>
                <w:rFonts w:ascii="Times New Roman" w:hAnsi="Times New Roman" w:cs="Times New Roman"/>
                <w:b/>
                <w:bCs/>
                <w:sz w:val="24"/>
                <w:szCs w:val="24"/>
              </w:rPr>
            </w:pPr>
          </w:p>
        </w:tc>
        <w:tc>
          <w:tcPr>
            <w:tcW w:w="1594" w:type="dxa"/>
            <w:gridSpan w:val="3"/>
            <w:vAlign w:val="center"/>
          </w:tcPr>
          <w:p>
            <w:pPr>
              <w:spacing w:line="240" w:lineRule="atLeast"/>
              <w:jc w:val="center"/>
              <w:rPr>
                <w:rFonts w:ascii="Times New Roman" w:hAnsi="Times New Roman" w:cs="Times New Roman"/>
                <w:b/>
                <w:bCs/>
                <w:sz w:val="24"/>
                <w:szCs w:val="24"/>
              </w:rPr>
            </w:pPr>
          </w:p>
        </w:tc>
        <w:tc>
          <w:tcPr>
            <w:tcW w:w="1745" w:type="dxa"/>
            <w:gridSpan w:val="2"/>
            <w:vAlign w:val="center"/>
          </w:tcPr>
          <w:p>
            <w:pPr>
              <w:spacing w:line="240" w:lineRule="atLeast"/>
              <w:jc w:val="center"/>
              <w:rPr>
                <w:rFonts w:ascii="Times New Roman" w:hAnsi="Times New Roman" w:cs="Times New Roman"/>
                <w:b/>
                <w:bCs/>
                <w:sz w:val="24"/>
                <w:szCs w:val="24"/>
              </w:rPr>
            </w:pPr>
          </w:p>
        </w:tc>
        <w:tc>
          <w:tcPr>
            <w:tcW w:w="1749" w:type="dxa"/>
            <w:gridSpan w:val="3"/>
            <w:vAlign w:val="center"/>
          </w:tcPr>
          <w:p>
            <w:pPr>
              <w:spacing w:line="240" w:lineRule="atLeast"/>
              <w:jc w:val="center"/>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591" w:type="dxa"/>
            <w:gridSpan w:val="2"/>
            <w:vAlign w:val="center"/>
          </w:tcPr>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选用学校</w:t>
            </w:r>
          </w:p>
          <w:p>
            <w:pPr>
              <w:spacing w:line="240" w:lineRule="atLeast"/>
              <w:jc w:val="center"/>
              <w:rPr>
                <w:rFonts w:ascii="Times New Roman" w:hAnsi="Times New Roman" w:cs="Times New Roman"/>
                <w:b/>
                <w:bCs/>
                <w:sz w:val="24"/>
                <w:szCs w:val="24"/>
              </w:rPr>
            </w:pPr>
            <w:r>
              <w:rPr>
                <w:rFonts w:hint="eastAsia" w:ascii="Times New Roman" w:hAnsi="Times New Roman" w:cs="Times New Roman"/>
                <w:b/>
                <w:bCs/>
                <w:sz w:val="24"/>
                <w:szCs w:val="24"/>
              </w:rPr>
              <w:t>清单</w:t>
            </w:r>
          </w:p>
        </w:tc>
        <w:tc>
          <w:tcPr>
            <w:tcW w:w="8274" w:type="dxa"/>
            <w:gridSpan w:val="14"/>
            <w:vAlign w:val="center"/>
          </w:tcPr>
          <w:p>
            <w:pPr>
              <w:spacing w:line="240" w:lineRule="atLeast"/>
              <w:jc w:val="center"/>
              <w:rPr>
                <w:rFonts w:ascii="Times New Roman" w:hAnsi="Times New Roman" w:cs="Times New Roman"/>
                <w:b/>
                <w:bCs/>
                <w:sz w:val="24"/>
                <w:szCs w:val="24"/>
              </w:rPr>
            </w:pPr>
          </w:p>
        </w:tc>
      </w:tr>
    </w:tbl>
    <w:p>
      <w:pPr>
        <w:rPr>
          <w:rFonts w:ascii="仿宋" w:hAnsi="仿宋" w:eastAsia="仿宋" w:cs="Times New Roman"/>
          <w:szCs w:val="21"/>
        </w:rPr>
      </w:pPr>
      <w:r>
        <w:rPr>
          <w:rFonts w:hint="eastAsia" w:ascii="仿宋" w:hAnsi="仿宋" w:eastAsia="仿宋" w:cs="Times New Roman"/>
          <w:szCs w:val="21"/>
        </w:rPr>
        <w:t>说明：本表各项数据含义须进一步规范统一。</w:t>
      </w:r>
    </w:p>
    <w:p>
      <w:pPr>
        <w:spacing w:line="560" w:lineRule="exact"/>
        <w:rPr>
          <w:sz w:val="28"/>
          <w:szCs w:val="28"/>
        </w:rPr>
      </w:pPr>
    </w:p>
    <w:p>
      <w:pPr>
        <w:spacing w:line="560" w:lineRule="exact"/>
        <w:jc w:val="center"/>
        <w:rPr>
          <w:rFonts w:ascii="黑体" w:hAnsi="黑体" w:eastAsia="黑体"/>
          <w:b/>
          <w:sz w:val="32"/>
          <w:szCs w:val="32"/>
        </w:rPr>
      </w:pPr>
      <w:r>
        <w:rPr>
          <w:rFonts w:hint="eastAsia" w:ascii="黑体" w:hAnsi="黑体" w:eastAsia="黑体"/>
          <w:b/>
          <w:sz w:val="32"/>
          <w:szCs w:val="32"/>
        </w:rPr>
        <w:t xml:space="preserve">五、精品慕课评价参考准则 </w:t>
      </w:r>
    </w:p>
    <w:p>
      <w:pPr>
        <w:spacing w:line="560" w:lineRule="exact"/>
        <w:rPr>
          <w:rFonts w:ascii="黑体" w:hAnsi="黑体" w:eastAsia="黑体"/>
          <w:b/>
          <w:sz w:val="32"/>
          <w:szCs w:val="32"/>
          <w:highlight w:val="yellow"/>
        </w:rPr>
      </w:pPr>
    </w:p>
    <w:p>
      <w:pPr>
        <w:adjustRightInd w:val="0"/>
        <w:ind w:firstLine="560" w:firstLineChars="200"/>
        <w:rPr>
          <w:sz w:val="28"/>
          <w:szCs w:val="28"/>
        </w:rPr>
      </w:pPr>
      <w:r>
        <w:rPr>
          <w:rFonts w:hint="eastAsia"/>
          <w:sz w:val="28"/>
          <w:szCs w:val="28"/>
        </w:rPr>
        <w:t>精品慕课首先要符合慕课基本标准（参见本指南的“二、慕课基本标准</w:t>
      </w:r>
      <w:r>
        <w:rPr>
          <w:sz w:val="28"/>
          <w:szCs w:val="28"/>
        </w:rPr>
        <w:t>”</w:t>
      </w:r>
      <w:r>
        <w:rPr>
          <w:rFonts w:hint="eastAsia"/>
          <w:sz w:val="28"/>
          <w:szCs w:val="28"/>
        </w:rPr>
        <w:t>）。在此基础上，</w:t>
      </w:r>
      <w:r>
        <w:rPr>
          <w:rFonts w:hint="eastAsia" w:cs="楷体"/>
          <w:sz w:val="28"/>
          <w:szCs w:val="28"/>
        </w:rPr>
        <w:t>以人才培养方案为基础，开展课程教学内容与教学方法创新，深度融合信息技术与教育教学，形成具有创新性、高阶性和挑战度的课程</w:t>
      </w:r>
      <w:r>
        <w:rPr>
          <w:rFonts w:hint="eastAsia"/>
          <w:sz w:val="28"/>
          <w:szCs w:val="28"/>
        </w:rPr>
        <w:t>。</w:t>
      </w:r>
    </w:p>
    <w:p>
      <w:pPr>
        <w:adjustRightInd w:val="0"/>
        <w:ind w:firstLine="560" w:firstLineChars="200"/>
        <w:rPr>
          <w:sz w:val="28"/>
          <w:szCs w:val="28"/>
        </w:rPr>
      </w:pPr>
      <w:r>
        <w:rPr>
          <w:rFonts w:hint="eastAsia"/>
          <w:sz w:val="28"/>
          <w:szCs w:val="28"/>
        </w:rPr>
        <w:t>精品慕课评价参考准则如下</w:t>
      </w:r>
      <w:r>
        <w:rPr>
          <w:sz w:val="28"/>
          <w:szCs w:val="28"/>
        </w:rPr>
        <w:t>。</w:t>
      </w:r>
    </w:p>
    <w:p>
      <w:pPr>
        <w:spacing w:line="560" w:lineRule="exact"/>
        <w:ind w:firstLine="562" w:firstLineChars="200"/>
        <w:rPr>
          <w:sz w:val="28"/>
          <w:szCs w:val="28"/>
        </w:rPr>
      </w:pPr>
      <w:r>
        <w:rPr>
          <w:rFonts w:hint="eastAsia" w:ascii="黑体" w:hAnsi="黑体" w:eastAsia="黑体"/>
          <w:b/>
          <w:sz w:val="28"/>
          <w:szCs w:val="28"/>
        </w:rPr>
        <w:t>（一）课程内容具有科学性、系统性与先进性</w:t>
      </w:r>
    </w:p>
    <w:p>
      <w:pPr>
        <w:spacing w:line="560" w:lineRule="exact"/>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．内容先进性。</w:t>
      </w:r>
      <w:r>
        <w:rPr>
          <w:rFonts w:hint="eastAsia"/>
          <w:sz w:val="28"/>
          <w:szCs w:val="28"/>
        </w:rPr>
        <w:t>课程应符合《普通高等学校本科专业类教学质量国家标准》等要求，内容组织体现出明显的思想性、科学性和系统性，内容选取反映时代性和前沿性。</w:t>
      </w:r>
    </w:p>
    <w:p>
      <w:pPr>
        <w:spacing w:line="560" w:lineRule="exact"/>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．课程价值。</w:t>
      </w:r>
      <w:r>
        <w:rPr>
          <w:rFonts w:hint="eastAsia"/>
          <w:sz w:val="28"/>
          <w:szCs w:val="28"/>
        </w:rPr>
        <w:t>反映学科/专业先进的思维、理论和成果，对学生未来发展有引领</w:t>
      </w:r>
      <w:r>
        <w:rPr>
          <w:sz w:val="28"/>
          <w:szCs w:val="28"/>
        </w:rPr>
        <w:t>作用</w:t>
      </w:r>
      <w:r>
        <w:rPr>
          <w:rFonts w:hint="eastAsia"/>
          <w:sz w:val="28"/>
          <w:szCs w:val="28"/>
        </w:rPr>
        <w:t>，对学生的复杂性思维养成、问题求解能力建立有重要价值。</w:t>
      </w:r>
    </w:p>
    <w:p>
      <w:pPr>
        <w:spacing w:line="560" w:lineRule="exact"/>
        <w:ind w:firstLine="562" w:firstLineChars="200"/>
        <w:rPr>
          <w:sz w:val="28"/>
          <w:szCs w:val="28"/>
        </w:rPr>
      </w:pPr>
      <w:r>
        <w:rPr>
          <w:rFonts w:ascii="黑体" w:hAnsi="黑体" w:eastAsia="黑体"/>
          <w:b/>
          <w:sz w:val="28"/>
          <w:szCs w:val="28"/>
        </w:rPr>
        <w:t>3</w:t>
      </w:r>
      <w:r>
        <w:rPr>
          <w:rFonts w:hint="eastAsia" w:ascii="黑体" w:hAnsi="黑体" w:eastAsia="黑体"/>
          <w:b/>
          <w:sz w:val="28"/>
          <w:szCs w:val="28"/>
        </w:rPr>
        <w:t>．引领和示范。</w:t>
      </w:r>
      <w:r>
        <w:rPr>
          <w:rFonts w:hint="eastAsia"/>
          <w:sz w:val="28"/>
          <w:szCs w:val="28"/>
        </w:rPr>
        <w:t>在同类别课程中有示范性和引领性。</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（二）</w:t>
      </w:r>
      <w:r>
        <w:rPr>
          <w:rFonts w:hint="eastAsia" w:ascii="黑体" w:hAnsi="黑体" w:eastAsia="黑体" w:cs="楷体"/>
          <w:b/>
          <w:sz w:val="28"/>
          <w:szCs w:val="28"/>
        </w:rPr>
        <w:t>教学设计精益求精</w:t>
      </w:r>
    </w:p>
    <w:p>
      <w:pPr>
        <w:spacing w:line="560" w:lineRule="exact"/>
        <w:ind w:firstLine="562" w:firstLineChars="200"/>
        <w:rPr>
          <w:rFonts w:cs="楷体"/>
          <w:sz w:val="28"/>
          <w:szCs w:val="28"/>
        </w:rPr>
      </w:pPr>
      <w:r>
        <w:rPr>
          <w:rFonts w:ascii="黑体" w:hAnsi="黑体" w:eastAsia="黑体"/>
          <w:b/>
          <w:sz w:val="28"/>
          <w:szCs w:val="28"/>
        </w:rPr>
        <w:t>1</w:t>
      </w:r>
      <w:r>
        <w:rPr>
          <w:rFonts w:hint="eastAsia" w:ascii="黑体" w:hAnsi="黑体" w:eastAsia="黑体"/>
          <w:b/>
          <w:sz w:val="28"/>
          <w:szCs w:val="28"/>
        </w:rPr>
        <w:t>．课程内容结构图。</w:t>
      </w:r>
      <w:r>
        <w:rPr>
          <w:rFonts w:hint="eastAsia"/>
          <w:sz w:val="28"/>
          <w:szCs w:val="28"/>
        </w:rPr>
        <w:t>能够采用内容结构图、课程脉络图、思维导图、知识图谱等形式展现整门课程的结构设计和分讲课程内容设计，</w:t>
      </w:r>
      <w:r>
        <w:rPr>
          <w:rFonts w:hint="eastAsia" w:cs="楷体"/>
          <w:sz w:val="28"/>
          <w:szCs w:val="28"/>
        </w:rPr>
        <w:t>既有知识的碎片化，又展现出碎片化知识间的关联关系。</w:t>
      </w:r>
    </w:p>
    <w:p>
      <w:pPr>
        <w:spacing w:line="560" w:lineRule="exact"/>
        <w:ind w:firstLine="562" w:firstLineChars="200"/>
        <w:rPr>
          <w:rFonts w:cs="楷体"/>
          <w:sz w:val="28"/>
          <w:szCs w:val="28"/>
        </w:rPr>
      </w:pPr>
      <w:r>
        <w:rPr>
          <w:rFonts w:ascii="黑体" w:hAnsi="黑体" w:eastAsia="黑体"/>
          <w:b/>
          <w:sz w:val="28"/>
          <w:szCs w:val="28"/>
        </w:rPr>
        <w:t>2</w:t>
      </w:r>
      <w:r>
        <w:rPr>
          <w:rFonts w:hint="eastAsia" w:ascii="黑体" w:hAnsi="黑体" w:eastAsia="黑体"/>
          <w:b/>
          <w:sz w:val="28"/>
          <w:szCs w:val="28"/>
        </w:rPr>
        <w:t>．教学课件。</w:t>
      </w:r>
      <w:r>
        <w:rPr>
          <w:rFonts w:hint="eastAsia" w:cs="楷体"/>
          <w:sz w:val="28"/>
          <w:szCs w:val="28"/>
        </w:rPr>
        <w:t>教学课件制作规范、逻辑清晰、布局规整、更新及时、可用性强，覆盖所有教学内容。</w:t>
      </w:r>
    </w:p>
    <w:p>
      <w:pPr>
        <w:spacing w:line="560" w:lineRule="exact"/>
        <w:ind w:firstLine="562" w:firstLineChars="200"/>
        <w:rPr>
          <w:rFonts w:cs="楷体"/>
          <w:sz w:val="28"/>
          <w:szCs w:val="28"/>
        </w:rPr>
      </w:pPr>
      <w:r>
        <w:rPr>
          <w:rFonts w:ascii="黑体" w:hAnsi="黑体" w:eastAsia="黑体"/>
          <w:b/>
          <w:sz w:val="28"/>
          <w:szCs w:val="28"/>
        </w:rPr>
        <w:t>3</w:t>
      </w:r>
      <w:r>
        <w:rPr>
          <w:rFonts w:hint="eastAsia" w:ascii="黑体" w:hAnsi="黑体" w:eastAsia="黑体"/>
          <w:b/>
          <w:sz w:val="28"/>
          <w:szCs w:val="28"/>
        </w:rPr>
        <w:t>．教学视频。</w:t>
      </w:r>
      <w:r>
        <w:rPr>
          <w:rFonts w:hint="eastAsia" w:cs="楷体"/>
          <w:sz w:val="28"/>
          <w:szCs w:val="28"/>
        </w:rPr>
        <w:t>教学视频制作规范、画面清晰、声音饱满，有穿透力和吸引力。</w:t>
      </w:r>
    </w:p>
    <w:p>
      <w:pPr>
        <w:spacing w:line="560" w:lineRule="exact"/>
        <w:ind w:firstLine="562" w:firstLineChars="200"/>
        <w:rPr>
          <w:rFonts w:cs="楷体"/>
          <w:sz w:val="28"/>
          <w:szCs w:val="28"/>
        </w:rPr>
      </w:pPr>
      <w:r>
        <w:rPr>
          <w:rFonts w:ascii="黑体" w:hAnsi="黑体" w:eastAsia="黑体"/>
          <w:b/>
          <w:sz w:val="28"/>
          <w:szCs w:val="28"/>
        </w:rPr>
        <w:t>4</w:t>
      </w:r>
      <w:r>
        <w:rPr>
          <w:rFonts w:hint="eastAsia" w:ascii="黑体" w:hAnsi="黑体" w:eastAsia="黑体"/>
          <w:b/>
          <w:sz w:val="28"/>
          <w:szCs w:val="28"/>
        </w:rPr>
        <w:t>．考核题目。</w:t>
      </w:r>
      <w:r>
        <w:rPr>
          <w:rFonts w:hint="eastAsia" w:cs="楷体"/>
          <w:sz w:val="28"/>
          <w:szCs w:val="28"/>
        </w:rPr>
        <w:t>考核题目精心准备、题库量大、知识覆盖全面、难易程度搭配合理。</w:t>
      </w:r>
    </w:p>
    <w:p>
      <w:pPr>
        <w:adjustRightInd w:val="0"/>
        <w:spacing w:line="276" w:lineRule="auto"/>
        <w:ind w:firstLine="562" w:firstLineChars="200"/>
        <w:rPr>
          <w:rFonts w:cs="楷体"/>
          <w:sz w:val="28"/>
          <w:szCs w:val="28"/>
        </w:rPr>
      </w:pPr>
      <w:r>
        <w:rPr>
          <w:rFonts w:ascii="黑体" w:hAnsi="黑体" w:eastAsia="黑体"/>
          <w:b/>
          <w:sz w:val="28"/>
          <w:szCs w:val="28"/>
        </w:rPr>
        <w:t>5</w:t>
      </w:r>
      <w:r>
        <w:rPr>
          <w:rFonts w:hint="eastAsia" w:ascii="黑体" w:hAnsi="黑体" w:eastAsia="黑体"/>
          <w:b/>
          <w:sz w:val="28"/>
          <w:szCs w:val="28"/>
        </w:rPr>
        <w:t>．考核评价方式。</w:t>
      </w:r>
      <w:r>
        <w:rPr>
          <w:rFonts w:hint="eastAsia" w:cs="楷体"/>
          <w:sz w:val="28"/>
          <w:szCs w:val="28"/>
        </w:rPr>
        <w:t>考核评价方式特色突出，累加式评价、形成性评价与结果性评价等多种考核评价方式结合运用、合理得当。学期内至少组织3次以上的考核评价。</w:t>
      </w:r>
    </w:p>
    <w:p>
      <w:pPr>
        <w:adjustRightInd w:val="0"/>
        <w:spacing w:line="276" w:lineRule="auto"/>
        <w:ind w:firstLine="562" w:firstLineChars="200"/>
        <w:rPr>
          <w:sz w:val="28"/>
          <w:szCs w:val="28"/>
        </w:rPr>
      </w:pPr>
      <w:r>
        <w:rPr>
          <w:rFonts w:hint="eastAsia" w:ascii="黑体" w:hAnsi="黑体" w:eastAsia="黑体"/>
          <w:b/>
          <w:sz w:val="28"/>
          <w:szCs w:val="28"/>
        </w:rPr>
        <w:t>（三）教学方法先进</w:t>
      </w:r>
    </w:p>
    <w:p>
      <w:pPr>
        <w:adjustRightInd w:val="0"/>
        <w:spacing w:line="276" w:lineRule="auto"/>
        <w:ind w:firstLine="560" w:firstLineChars="200"/>
        <w:rPr>
          <w:rFonts w:cs="楷体"/>
          <w:sz w:val="28"/>
          <w:szCs w:val="28"/>
        </w:rPr>
      </w:pPr>
      <w:r>
        <w:rPr>
          <w:rFonts w:hint="eastAsia"/>
          <w:sz w:val="28"/>
          <w:szCs w:val="28"/>
        </w:rPr>
        <w:t>依据教学目标，突出问题导向，引导学生启发式探究式学习，强化多向交互与质疑辩论。教学活动组织科学合理，符合教育教学规律。</w:t>
      </w:r>
      <w:r>
        <w:rPr>
          <w:rFonts w:hint="eastAsia" w:cs="楷体"/>
          <w:sz w:val="28"/>
          <w:szCs w:val="28"/>
        </w:rPr>
        <w:t>围绕核心课程内容</w:t>
      </w:r>
      <w:r>
        <w:rPr>
          <w:rFonts w:cs="楷体"/>
          <w:sz w:val="28"/>
          <w:szCs w:val="28"/>
        </w:rPr>
        <w:t>,面向不同受众，</w:t>
      </w:r>
      <w:r>
        <w:rPr>
          <w:rFonts w:hint="eastAsia" w:cs="楷体"/>
          <w:sz w:val="28"/>
          <w:szCs w:val="28"/>
        </w:rPr>
        <w:t>实施阶梯化教学，教学方法特点和亮点突出。</w:t>
      </w:r>
      <w:r>
        <w:rPr>
          <w:rFonts w:cs="楷体"/>
          <w:sz w:val="28"/>
          <w:szCs w:val="28"/>
        </w:rPr>
        <w:t>合理提升</w:t>
      </w:r>
      <w:r>
        <w:rPr>
          <w:rFonts w:hint="eastAsia" w:cs="楷体"/>
          <w:sz w:val="28"/>
          <w:szCs w:val="28"/>
        </w:rPr>
        <w:t>了</w:t>
      </w:r>
      <w:r>
        <w:rPr>
          <w:rFonts w:cs="楷体"/>
          <w:sz w:val="28"/>
          <w:szCs w:val="28"/>
        </w:rPr>
        <w:t>学业挑战度、增加</w:t>
      </w:r>
      <w:r>
        <w:rPr>
          <w:rFonts w:hint="eastAsia" w:cs="楷体"/>
          <w:sz w:val="28"/>
          <w:szCs w:val="28"/>
        </w:rPr>
        <w:t>了</w:t>
      </w:r>
      <w:r>
        <w:rPr>
          <w:rFonts w:cs="楷体"/>
          <w:sz w:val="28"/>
          <w:szCs w:val="28"/>
        </w:rPr>
        <w:t>课程难度、拓展</w:t>
      </w:r>
      <w:r>
        <w:rPr>
          <w:rFonts w:hint="eastAsia" w:cs="楷体"/>
          <w:sz w:val="28"/>
          <w:szCs w:val="28"/>
        </w:rPr>
        <w:t>了</w:t>
      </w:r>
      <w:r>
        <w:rPr>
          <w:rFonts w:cs="楷体"/>
          <w:sz w:val="28"/>
          <w:szCs w:val="28"/>
        </w:rPr>
        <w:t>课程深度</w:t>
      </w:r>
      <w:r>
        <w:rPr>
          <w:rFonts w:hint="eastAsia" w:cs="楷体"/>
          <w:sz w:val="28"/>
          <w:szCs w:val="28"/>
        </w:rPr>
        <w:t>。</w:t>
      </w:r>
    </w:p>
    <w:p>
      <w:pPr>
        <w:adjustRightInd w:val="0"/>
        <w:spacing w:line="276" w:lineRule="auto"/>
        <w:ind w:firstLine="560" w:firstLineChars="200"/>
        <w:rPr>
          <w:rFonts w:cs="楷体"/>
          <w:sz w:val="28"/>
          <w:szCs w:val="28"/>
        </w:rPr>
      </w:pPr>
      <w:r>
        <w:rPr>
          <w:rFonts w:hint="eastAsia" w:cs="楷体"/>
          <w:sz w:val="28"/>
          <w:szCs w:val="28"/>
        </w:rPr>
        <w:t xml:space="preserve">在线考试题库题目数量多、有区分度，能够覆盖课程知识、能力与素质考核要求。突出复杂性思维训练题目、问题求解能力训练题目、场景化递进化训练题目。有挑战度的题目占有一定比例。 </w:t>
      </w:r>
    </w:p>
    <w:p>
      <w:pPr>
        <w:spacing w:line="560" w:lineRule="exact"/>
        <w:ind w:firstLine="562" w:firstLineChars="200"/>
        <w:rPr>
          <w:sz w:val="28"/>
          <w:szCs w:val="28"/>
        </w:rPr>
      </w:pPr>
      <w:r>
        <w:rPr>
          <w:rFonts w:hint="eastAsia" w:ascii="黑体" w:hAnsi="黑体" w:eastAsia="黑体"/>
          <w:b/>
          <w:sz w:val="28"/>
          <w:szCs w:val="28"/>
        </w:rPr>
        <w:t>（四）信息技术手段应用得当</w:t>
      </w:r>
    </w:p>
    <w:p>
      <w:pPr>
        <w:spacing w:line="560" w:lineRule="exact"/>
        <w:ind w:firstLine="560" w:firstLineChars="200"/>
        <w:rPr>
          <w:sz w:val="28"/>
          <w:szCs w:val="28"/>
        </w:rPr>
      </w:pPr>
      <w:r>
        <w:rPr>
          <w:rFonts w:hint="eastAsia"/>
          <w:sz w:val="28"/>
          <w:szCs w:val="28"/>
        </w:rPr>
        <w:t>在教学过程中充分运用信息技术手段提升教学效果，包括但不限于：运用声音、图像、视频手段等扩大课程的信息量，运用实景教学手段增强课程内容的体验性，运用动画、游戏手段增强课程的趣味性，运用虚拟仿真手段增强课程的可理解性，基于大数据分析改进教学效果评价机制，运用智能教学工具提升教学效果。</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（五）教学服务及时有效</w:t>
      </w:r>
    </w:p>
    <w:p>
      <w:pPr>
        <w:spacing w:line="560" w:lineRule="exact"/>
        <w:ind w:firstLine="560" w:firstLineChars="200"/>
        <w:rPr>
          <w:sz w:val="28"/>
          <w:szCs w:val="28"/>
        </w:rPr>
      </w:pPr>
      <w:r>
        <w:rPr>
          <w:rFonts w:hint="eastAsia"/>
          <w:sz w:val="28"/>
          <w:szCs w:val="28"/>
        </w:rPr>
        <w:t>在</w:t>
      </w:r>
      <w:r>
        <w:rPr>
          <w:sz w:val="28"/>
          <w:szCs w:val="28"/>
        </w:rPr>
        <w:t>平台上</w:t>
      </w:r>
      <w:r>
        <w:rPr>
          <w:rFonts w:hint="eastAsia"/>
          <w:sz w:val="28"/>
          <w:szCs w:val="28"/>
        </w:rPr>
        <w:t>按照课程大纲有序开放教学资源，为学习者提供在线讨论与答疑、在线测试、期末考试等种类丰富且适当的教学活动，及时开展有效的在线指导与答疑、在线测评等服务，教学过程不断优化。</w:t>
      </w:r>
    </w:p>
    <w:p>
      <w:pPr>
        <w:spacing w:line="560" w:lineRule="exact"/>
        <w:ind w:firstLine="560" w:firstLineChars="200"/>
        <w:rPr>
          <w:sz w:val="28"/>
          <w:szCs w:val="28"/>
        </w:rPr>
      </w:pPr>
      <w:r>
        <w:rPr>
          <w:rFonts w:hint="eastAsia"/>
          <w:sz w:val="28"/>
          <w:szCs w:val="28"/>
        </w:rPr>
        <w:t>开课周期内,学生提问帖子的回复率超50%，或主讲教师回帖总次数不少于20次。</w:t>
      </w:r>
      <w:r>
        <w:rPr>
          <w:rFonts w:cs="楷体"/>
          <w:sz w:val="28"/>
          <w:szCs w:val="28"/>
        </w:rPr>
        <w:t>为</w:t>
      </w:r>
      <w:r>
        <w:rPr>
          <w:rFonts w:hint="eastAsia" w:cs="楷体"/>
          <w:sz w:val="28"/>
          <w:szCs w:val="28"/>
        </w:rPr>
        <w:t>他校</w:t>
      </w:r>
      <w:r>
        <w:rPr>
          <w:rFonts w:cs="楷体"/>
          <w:sz w:val="28"/>
          <w:szCs w:val="28"/>
        </w:rPr>
        <w:t>一线教师</w:t>
      </w:r>
      <w:r>
        <w:rPr>
          <w:rFonts w:hint="eastAsia" w:cs="楷体"/>
          <w:sz w:val="28"/>
          <w:szCs w:val="28"/>
        </w:rPr>
        <w:t>提供各类培训服务等。</w:t>
      </w:r>
      <w:r>
        <w:rPr>
          <w:rFonts w:hint="eastAsia"/>
          <w:sz w:val="28"/>
          <w:szCs w:val="28"/>
        </w:rPr>
        <w:t>在利用和发挥网络教学优势方面有示范性。</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（六）学习者高效互动</w:t>
      </w:r>
    </w:p>
    <w:p>
      <w:pPr>
        <w:spacing w:line="560" w:lineRule="exact"/>
        <w:ind w:firstLine="560" w:firstLineChars="200"/>
        <w:rPr>
          <w:sz w:val="28"/>
          <w:szCs w:val="28"/>
        </w:rPr>
      </w:pPr>
      <w:r>
        <w:rPr>
          <w:rFonts w:hint="eastAsia"/>
          <w:sz w:val="28"/>
          <w:szCs w:val="28"/>
        </w:rPr>
        <w:t>有效</w:t>
      </w:r>
      <w:r>
        <w:rPr>
          <w:sz w:val="28"/>
          <w:szCs w:val="28"/>
        </w:rPr>
        <w:t>组织起</w:t>
      </w:r>
      <w:r>
        <w:rPr>
          <w:rFonts w:hint="eastAsia"/>
          <w:sz w:val="28"/>
          <w:szCs w:val="28"/>
        </w:rPr>
        <w:t>师生之间、生生之间的多向互动，</w:t>
      </w:r>
      <w:r>
        <w:rPr>
          <w:rFonts w:hint="eastAsia" w:cs="楷体"/>
          <w:sz w:val="28"/>
          <w:szCs w:val="28"/>
        </w:rPr>
        <w:t>发帖和跟帖总数应达到一定数量，</w:t>
      </w:r>
      <w:r>
        <w:rPr>
          <w:rFonts w:hint="eastAsia"/>
          <w:sz w:val="28"/>
          <w:szCs w:val="28"/>
        </w:rPr>
        <w:t>有挑战度的讨论话题占有一定比例，学习者对课程反馈评价高。</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（七）课程团队水平高</w:t>
      </w:r>
    </w:p>
    <w:p>
      <w:pPr>
        <w:spacing w:line="560" w:lineRule="exact"/>
        <w:ind w:firstLine="560" w:firstLineChars="200"/>
        <w:rPr>
          <w:sz w:val="28"/>
          <w:szCs w:val="28"/>
        </w:rPr>
      </w:pPr>
      <w:r>
        <w:rPr>
          <w:rFonts w:hint="eastAsia"/>
          <w:sz w:val="28"/>
          <w:szCs w:val="28"/>
        </w:rPr>
        <w:t>课程负责人在本课程专业领域有较高学术造诣，教学经验丰富，教学水平高。课程团队师德好、教学表现力强，</w:t>
      </w:r>
      <w:r>
        <w:rPr>
          <w:sz w:val="28"/>
          <w:szCs w:val="28"/>
        </w:rPr>
        <w:t>能够</w:t>
      </w:r>
      <w:r>
        <w:rPr>
          <w:rFonts w:hint="eastAsia"/>
          <w:sz w:val="28"/>
          <w:szCs w:val="28"/>
        </w:rPr>
        <w:t>熟练运用网络教学方法和技能激发学生学习兴趣。课程负责人亲自授课和制作的教学资源（含教学视频）应占有一定比例。</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（八）本校应用的效果</w:t>
      </w:r>
      <w:r>
        <w:rPr>
          <w:rFonts w:ascii="黑体" w:hAnsi="黑体" w:eastAsia="黑体"/>
          <w:b/>
          <w:sz w:val="28"/>
          <w:szCs w:val="28"/>
        </w:rPr>
        <w:t>明显</w:t>
      </w:r>
    </w:p>
    <w:p>
      <w:pPr>
        <w:spacing w:line="560" w:lineRule="exact"/>
        <w:ind w:firstLine="560" w:firstLineChars="200"/>
        <w:rPr>
          <w:sz w:val="28"/>
          <w:szCs w:val="28"/>
        </w:rPr>
      </w:pPr>
      <w:r>
        <w:rPr>
          <w:rFonts w:hint="eastAsia"/>
          <w:sz w:val="28"/>
          <w:szCs w:val="28"/>
        </w:rPr>
        <w:t>课程在本校本科教学中已开展混合式教学2个学期以上，能有针对性地解决当前教育教学中存在的问题，符合以学生为中心的课程教学改革方向；将慕课与实体课堂有效结合，推动了实体课堂向</w:t>
      </w:r>
      <w:r>
        <w:rPr>
          <w:rFonts w:hint="eastAsia" w:cs="楷体"/>
          <w:sz w:val="28"/>
          <w:szCs w:val="28"/>
        </w:rPr>
        <w:t>线上线下混合式课堂及</w:t>
      </w:r>
      <w:r>
        <w:rPr>
          <w:rFonts w:hint="eastAsia"/>
          <w:sz w:val="28"/>
          <w:szCs w:val="28"/>
        </w:rPr>
        <w:t>翻转课</w:t>
      </w:r>
      <w:r>
        <w:rPr>
          <w:rFonts w:hint="eastAsia" w:cs="楷体"/>
          <w:sz w:val="28"/>
          <w:szCs w:val="28"/>
        </w:rPr>
        <w:t>堂转变，</w:t>
      </w:r>
      <w:r>
        <w:rPr>
          <w:rFonts w:hint="eastAsia"/>
          <w:sz w:val="28"/>
          <w:szCs w:val="28"/>
        </w:rPr>
        <w:t>有效提高了教学质量。</w:t>
      </w:r>
    </w:p>
    <w:p>
      <w:pPr>
        <w:adjustRightInd w:val="0"/>
        <w:ind w:firstLine="562" w:firstLineChars="200"/>
        <w:rPr>
          <w:sz w:val="28"/>
          <w:szCs w:val="28"/>
        </w:rPr>
      </w:pPr>
      <w:r>
        <w:rPr>
          <w:rFonts w:hint="eastAsia" w:ascii="黑体" w:hAnsi="黑体" w:eastAsia="黑体"/>
          <w:b/>
          <w:sz w:val="28"/>
          <w:szCs w:val="28"/>
        </w:rPr>
        <w:t>（九）社会认可度高</w:t>
      </w:r>
    </w:p>
    <w:p>
      <w:pPr>
        <w:adjustRightInd w:val="0"/>
        <w:ind w:firstLine="560" w:firstLineChars="200"/>
        <w:rPr>
          <w:sz w:val="28"/>
          <w:szCs w:val="28"/>
        </w:rPr>
      </w:pPr>
      <w:r>
        <w:rPr>
          <w:rFonts w:hint="eastAsia"/>
          <w:sz w:val="28"/>
          <w:szCs w:val="28"/>
        </w:rPr>
        <w:t>课程共享范围广，应用模式多样，应用效果好，社会认可度高、影响力大。</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．课程开放。</w:t>
      </w:r>
      <w:r>
        <w:rPr>
          <w:rFonts w:hint="eastAsia"/>
          <w:sz w:val="28"/>
          <w:szCs w:val="28"/>
        </w:rPr>
        <w:t>课程面向其他高校和社会学习者完整开放不少于2个学期。</w:t>
      </w:r>
    </w:p>
    <w:p>
      <w:pPr>
        <w:adjustRightInd w:val="0"/>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．选课人数多。</w:t>
      </w:r>
      <w:r>
        <w:rPr>
          <w:rFonts w:hint="eastAsia"/>
          <w:sz w:val="28"/>
          <w:szCs w:val="28"/>
        </w:rPr>
        <w:t>通识类/基础类课程选课人数累计不少于8</w:t>
      </w:r>
      <w:r>
        <w:rPr>
          <w:sz w:val="28"/>
          <w:szCs w:val="28"/>
        </w:rPr>
        <w:t>,</w:t>
      </w:r>
      <w:r>
        <w:rPr>
          <w:rFonts w:hint="eastAsia"/>
          <w:sz w:val="28"/>
          <w:szCs w:val="28"/>
        </w:rPr>
        <w:t>000人，专业类课程选课人数原则上累计不少于2</w:t>
      </w:r>
      <w:r>
        <w:rPr>
          <w:sz w:val="28"/>
          <w:szCs w:val="28"/>
        </w:rPr>
        <w:t>,</w:t>
      </w:r>
      <w:r>
        <w:rPr>
          <w:rFonts w:hint="eastAsia"/>
          <w:sz w:val="28"/>
          <w:szCs w:val="28"/>
        </w:rPr>
        <w:t>000人。</w:t>
      </w:r>
    </w:p>
    <w:p>
      <w:pPr>
        <w:adjustRightInd w:val="0"/>
        <w:ind w:firstLine="562" w:firstLineChars="200"/>
        <w:rPr>
          <w:sz w:val="28"/>
          <w:szCs w:val="28"/>
        </w:rPr>
      </w:pPr>
      <w:r>
        <w:rPr>
          <w:rFonts w:ascii="黑体" w:hAnsi="黑体" w:eastAsia="黑体"/>
          <w:b/>
          <w:sz w:val="28"/>
          <w:szCs w:val="28"/>
        </w:rPr>
        <w:t>3</w:t>
      </w:r>
      <w:r>
        <w:rPr>
          <w:rFonts w:hint="eastAsia" w:ascii="黑体" w:hAnsi="黑体" w:eastAsia="黑体"/>
          <w:b/>
          <w:sz w:val="28"/>
          <w:szCs w:val="28"/>
        </w:rPr>
        <w:t>．应用学校数量多。</w:t>
      </w:r>
      <w:r>
        <w:rPr>
          <w:rFonts w:hint="eastAsia"/>
          <w:sz w:val="28"/>
          <w:szCs w:val="28"/>
        </w:rPr>
        <w:t>应用学校数，是指该学校以整年级整班为单位采用课程的学校数量，或者说选课人数超过15人的学校数量，或者以</w:t>
      </w:r>
      <w:r>
        <w:rPr>
          <w:rFonts w:ascii="Times New Roman" w:hAnsi="Times New Roman" w:cs="Times New Roman"/>
          <w:sz w:val="28"/>
          <w:szCs w:val="28"/>
        </w:rPr>
        <w:t>SPOC</w:t>
      </w:r>
      <w:r>
        <w:rPr>
          <w:rFonts w:hint="eastAsia"/>
          <w:sz w:val="28"/>
          <w:szCs w:val="28"/>
        </w:rPr>
        <w:t>形式应用本课程的数量。</w:t>
      </w:r>
    </w:p>
    <w:p>
      <w:pPr>
        <w:adjustRightInd w:val="0"/>
        <w:ind w:firstLine="562" w:firstLineChars="200"/>
        <w:rPr>
          <w:rFonts w:ascii="黑体" w:hAnsi="黑体" w:eastAsia="黑体"/>
          <w:b/>
          <w:sz w:val="28"/>
          <w:szCs w:val="28"/>
        </w:rPr>
      </w:pPr>
      <w:r>
        <w:rPr>
          <w:rFonts w:hint="eastAsia" w:ascii="黑体" w:hAnsi="黑体" w:eastAsia="黑体"/>
          <w:b/>
          <w:sz w:val="28"/>
          <w:szCs w:val="28"/>
        </w:rPr>
        <w:t>（十）</w:t>
      </w:r>
      <w:r>
        <w:rPr>
          <w:rFonts w:ascii="黑体" w:hAnsi="黑体" w:eastAsia="黑体"/>
          <w:b/>
          <w:sz w:val="28"/>
          <w:szCs w:val="28"/>
        </w:rPr>
        <w:t>平台</w:t>
      </w:r>
      <w:r>
        <w:rPr>
          <w:rFonts w:hint="eastAsia" w:ascii="黑体" w:hAnsi="黑体" w:eastAsia="黑体"/>
          <w:b/>
          <w:sz w:val="28"/>
          <w:szCs w:val="28"/>
        </w:rPr>
        <w:t>运行</w:t>
      </w:r>
      <w:r>
        <w:rPr>
          <w:rFonts w:ascii="黑体" w:hAnsi="黑体" w:eastAsia="黑体"/>
          <w:b/>
          <w:sz w:val="28"/>
          <w:szCs w:val="28"/>
        </w:rPr>
        <w:t>稳定</w:t>
      </w:r>
    </w:p>
    <w:p>
      <w:pPr>
        <w:adjustRightInd w:val="0"/>
        <w:ind w:firstLine="560" w:firstLineChars="200"/>
      </w:pPr>
      <w:r>
        <w:rPr>
          <w:rFonts w:hint="eastAsia"/>
          <w:sz w:val="28"/>
          <w:szCs w:val="28"/>
        </w:rPr>
        <w:t>课程所依托的平台须符合慕课平台及服务规范（参见本指南的“四、慕课平台及服务规范要求</w:t>
      </w:r>
      <w:r>
        <w:rPr>
          <w:sz w:val="28"/>
          <w:szCs w:val="28"/>
        </w:rPr>
        <w:t>”</w:t>
      </w:r>
      <w:r>
        <w:rPr>
          <w:rFonts w:hint="eastAsia"/>
          <w:sz w:val="28"/>
          <w:szCs w:val="28"/>
        </w:rPr>
        <w:t>），并得到广泛使用，运行</w:t>
      </w:r>
      <w:r>
        <w:rPr>
          <w:sz w:val="28"/>
          <w:szCs w:val="28"/>
        </w:rPr>
        <w:t>稳定，</w:t>
      </w:r>
      <w:r>
        <w:rPr>
          <w:rFonts w:hint="eastAsia"/>
          <w:sz w:val="28"/>
          <w:szCs w:val="28"/>
        </w:rPr>
        <w:t>反馈良好</w:t>
      </w:r>
      <w:r>
        <w:rPr>
          <w:sz w:val="28"/>
          <w:szCs w:val="28"/>
        </w:rPr>
        <w:t>。</w:t>
      </w:r>
    </w:p>
    <w:p>
      <w:pPr>
        <w:spacing w:line="560" w:lineRule="exact"/>
        <w:rPr>
          <w:sz w:val="28"/>
          <w:szCs w:val="28"/>
        </w:rPr>
      </w:pPr>
    </w:p>
    <w:p>
      <w:pPr>
        <w:spacing w:line="560" w:lineRule="exact"/>
        <w:jc w:val="center"/>
        <w:rPr>
          <w:rFonts w:ascii="黑体" w:hAnsi="黑体" w:eastAsia="黑体"/>
          <w:b/>
          <w:sz w:val="32"/>
          <w:szCs w:val="32"/>
        </w:rPr>
      </w:pPr>
      <w:r>
        <w:rPr>
          <w:rFonts w:hint="eastAsia" w:ascii="黑体" w:hAnsi="黑体" w:eastAsia="黑体"/>
          <w:b/>
          <w:sz w:val="32"/>
          <w:szCs w:val="32"/>
        </w:rPr>
        <w:t>六、基于慕课的线上线下混合式精品课程评价参考准则</w:t>
      </w:r>
    </w:p>
    <w:p>
      <w:pPr>
        <w:adjustRightInd w:val="0"/>
        <w:ind w:firstLine="560" w:firstLineChars="200"/>
        <w:rPr>
          <w:sz w:val="28"/>
          <w:szCs w:val="28"/>
        </w:rPr>
      </w:pPr>
    </w:p>
    <w:p>
      <w:pPr>
        <w:adjustRightInd w:val="0"/>
        <w:ind w:firstLine="560" w:firstLineChars="200"/>
        <w:rPr>
          <w:sz w:val="28"/>
          <w:szCs w:val="28"/>
        </w:rPr>
      </w:pPr>
      <w:r>
        <w:rPr>
          <w:rFonts w:hint="eastAsia"/>
          <w:sz w:val="28"/>
          <w:szCs w:val="28"/>
        </w:rPr>
        <w:t>线上线下混合式精品课程首先要符合线上线下混合式课程基本标准（参见本指南的“三、基于慕课的线上线下混合式课程基本标准</w:t>
      </w:r>
      <w:r>
        <w:rPr>
          <w:sz w:val="28"/>
          <w:szCs w:val="28"/>
        </w:rPr>
        <w:t>”</w:t>
      </w:r>
      <w:r>
        <w:rPr>
          <w:rFonts w:hint="eastAsia"/>
          <w:sz w:val="28"/>
          <w:szCs w:val="28"/>
        </w:rPr>
        <w:t>）。在此基础上，</w:t>
      </w:r>
      <w:r>
        <w:rPr>
          <w:rFonts w:hint="eastAsia" w:cs="楷体"/>
          <w:sz w:val="28"/>
          <w:szCs w:val="28"/>
        </w:rPr>
        <w:t>以人才培养方案为基础，优化运用线上和线下两个课堂，以学生为中心，形成具有创新性、高阶性和挑战度的精品课程</w:t>
      </w:r>
      <w:r>
        <w:rPr>
          <w:rFonts w:hint="eastAsia"/>
          <w:sz w:val="28"/>
          <w:szCs w:val="28"/>
        </w:rPr>
        <w:t>。</w:t>
      </w:r>
    </w:p>
    <w:p>
      <w:pPr>
        <w:adjustRightInd w:val="0"/>
        <w:ind w:firstLine="560" w:firstLineChars="200"/>
        <w:rPr>
          <w:sz w:val="28"/>
          <w:szCs w:val="28"/>
        </w:rPr>
      </w:pPr>
      <w:r>
        <w:rPr>
          <w:rFonts w:hint="eastAsia" w:cs="楷体"/>
          <w:sz w:val="28"/>
          <w:szCs w:val="28"/>
        </w:rPr>
        <w:t>基于慕课</w:t>
      </w:r>
      <w:r>
        <w:rPr>
          <w:rFonts w:cs="楷体"/>
          <w:sz w:val="28"/>
          <w:szCs w:val="28"/>
        </w:rPr>
        <w:t>的</w:t>
      </w:r>
      <w:r>
        <w:rPr>
          <w:rFonts w:hint="eastAsia" w:cs="楷体"/>
          <w:sz w:val="28"/>
          <w:szCs w:val="28"/>
        </w:rPr>
        <w:t>线上线下混合式精品课程（以下</w:t>
      </w:r>
      <w:r>
        <w:rPr>
          <w:rFonts w:cs="楷体"/>
          <w:sz w:val="28"/>
          <w:szCs w:val="28"/>
        </w:rPr>
        <w:t>简称为“</w:t>
      </w:r>
      <w:r>
        <w:rPr>
          <w:rFonts w:hint="eastAsia" w:cs="楷体"/>
          <w:sz w:val="28"/>
          <w:szCs w:val="28"/>
        </w:rPr>
        <w:t>混合</w:t>
      </w:r>
      <w:r>
        <w:rPr>
          <w:rFonts w:cs="楷体"/>
          <w:sz w:val="28"/>
          <w:szCs w:val="28"/>
        </w:rPr>
        <w:t>式精品课程”）</w:t>
      </w:r>
      <w:r>
        <w:rPr>
          <w:rFonts w:hint="eastAsia" w:cs="楷体"/>
          <w:sz w:val="28"/>
          <w:szCs w:val="28"/>
        </w:rPr>
        <w:t>的</w:t>
      </w:r>
      <w:r>
        <w:rPr>
          <w:rFonts w:hint="eastAsia"/>
          <w:sz w:val="28"/>
          <w:szCs w:val="28"/>
        </w:rPr>
        <w:t>评价参考准则如下</w:t>
      </w:r>
      <w:r>
        <w:rPr>
          <w:sz w:val="28"/>
          <w:szCs w:val="28"/>
        </w:rPr>
        <w:t>。</w:t>
      </w:r>
    </w:p>
    <w:p>
      <w:pPr>
        <w:adjustRightInd w:val="0"/>
        <w:ind w:firstLine="562" w:firstLineChars="200"/>
        <w:rPr>
          <w:rFonts w:ascii="黑体" w:hAnsi="黑体" w:eastAsia="黑体"/>
          <w:b/>
          <w:sz w:val="28"/>
          <w:szCs w:val="28"/>
        </w:rPr>
      </w:pPr>
      <w:r>
        <w:rPr>
          <w:rFonts w:hint="eastAsia" w:ascii="黑体" w:hAnsi="黑体" w:eastAsia="黑体"/>
          <w:b/>
          <w:sz w:val="28"/>
          <w:szCs w:val="28"/>
        </w:rPr>
        <w:t xml:space="preserve">（一）课程定位与价值 </w:t>
      </w:r>
    </w:p>
    <w:p>
      <w:pPr>
        <w:adjustRightInd w:val="0"/>
        <w:ind w:firstLine="560" w:firstLineChars="200"/>
        <w:rPr>
          <w:rFonts w:ascii="黑体" w:hAnsi="黑体" w:eastAsia="黑体"/>
          <w:b/>
          <w:sz w:val="28"/>
          <w:szCs w:val="28"/>
        </w:rPr>
      </w:pPr>
      <w:r>
        <w:rPr>
          <w:rFonts w:hint="eastAsia"/>
          <w:sz w:val="28"/>
          <w:szCs w:val="28"/>
        </w:rPr>
        <w:t>关于课程定位与价值的相关表述，应体现在课程大纲中，并在教学设计和教学实施中予以落实。</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w:t>
      </w:r>
      <w:r>
        <w:rPr>
          <w:rFonts w:ascii="黑体" w:hAnsi="黑体" w:eastAsia="黑体"/>
          <w:b/>
          <w:sz w:val="28"/>
          <w:szCs w:val="28"/>
        </w:rPr>
        <w:t>课程价值</w:t>
      </w:r>
      <w:r>
        <w:rPr>
          <w:rFonts w:hint="eastAsia" w:ascii="黑体" w:hAnsi="黑体" w:eastAsia="黑体"/>
          <w:b/>
          <w:sz w:val="28"/>
          <w:szCs w:val="28"/>
        </w:rPr>
        <w:t>。</w:t>
      </w:r>
      <w:r>
        <w:rPr>
          <w:rFonts w:hint="eastAsia"/>
          <w:sz w:val="28"/>
          <w:szCs w:val="28"/>
        </w:rPr>
        <w:t>在覆盖基本标准基础上，</w:t>
      </w:r>
      <w:r>
        <w:rPr>
          <w:sz w:val="28"/>
          <w:szCs w:val="28"/>
        </w:rPr>
        <w:t>混合式</w:t>
      </w:r>
      <w:r>
        <w:rPr>
          <w:rFonts w:hint="eastAsia"/>
          <w:sz w:val="28"/>
          <w:szCs w:val="28"/>
        </w:rPr>
        <w:t>精品</w:t>
      </w:r>
      <w:r>
        <w:rPr>
          <w:sz w:val="28"/>
          <w:szCs w:val="28"/>
        </w:rPr>
        <w:t>课程是</w:t>
      </w:r>
      <w:r>
        <w:rPr>
          <w:rFonts w:hint="eastAsia"/>
          <w:sz w:val="28"/>
          <w:szCs w:val="28"/>
        </w:rPr>
        <w:t>站在学科高度精心凝练的，对学生现在和未来发展有重要影响的课程，能够体现出不同类别课程的核心价值。</w:t>
      </w:r>
    </w:p>
    <w:p>
      <w:pPr>
        <w:adjustRightInd w:val="0"/>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．课程理念。</w:t>
      </w:r>
      <w:r>
        <w:rPr>
          <w:rFonts w:hint="eastAsia"/>
          <w:sz w:val="28"/>
          <w:szCs w:val="28"/>
        </w:rPr>
        <w:t>在覆盖基本标准基础上，混合式精品课程体现了先进的课程理念，如多元融合（跨学科、跨知识领域融合，通识育人与专业培养融合，课堂教学与项目实践融合，基础理论与产业技术融合，学科内涵与学生发展融合等）、产出导向、持续改进等。</w:t>
      </w:r>
    </w:p>
    <w:p>
      <w:pPr>
        <w:adjustRightInd w:val="0"/>
        <w:ind w:firstLine="562" w:firstLineChars="200"/>
        <w:rPr>
          <w:sz w:val="28"/>
          <w:szCs w:val="28"/>
        </w:rPr>
      </w:pPr>
      <w:r>
        <w:rPr>
          <w:rFonts w:ascii="黑体" w:hAnsi="黑体" w:eastAsia="黑体"/>
          <w:b/>
          <w:sz w:val="28"/>
          <w:szCs w:val="28"/>
        </w:rPr>
        <w:t>3</w:t>
      </w:r>
      <w:r>
        <w:rPr>
          <w:rFonts w:hint="eastAsia" w:ascii="黑体" w:hAnsi="黑体" w:eastAsia="黑体"/>
          <w:b/>
          <w:sz w:val="28"/>
          <w:szCs w:val="28"/>
        </w:rPr>
        <w:t>．教学目标与教学要求。</w:t>
      </w:r>
      <w:r>
        <w:rPr>
          <w:rFonts w:hint="eastAsia"/>
          <w:sz w:val="28"/>
          <w:szCs w:val="28"/>
        </w:rPr>
        <w:t>在覆盖基本标准基础上，混合式精品课程体现了“能够应用、能够分析、能够综合”等高阶性的能力要求，体现了复杂性思维、复杂问题求解能力等高阶能力培养，体现了问题导向、探究学习等培养高阶能力的教学方法，体现了学科前沿性和先进性，提高了课程挑战度。</w:t>
      </w:r>
    </w:p>
    <w:p>
      <w:pPr>
        <w:adjustRightInd w:val="0"/>
        <w:ind w:firstLine="562" w:firstLineChars="200"/>
        <w:rPr>
          <w:rFonts w:ascii="黑体" w:hAnsi="黑体" w:eastAsia="黑体"/>
          <w:b/>
          <w:sz w:val="28"/>
          <w:szCs w:val="28"/>
        </w:rPr>
      </w:pPr>
      <w:r>
        <w:rPr>
          <w:rFonts w:hint="eastAsia" w:ascii="黑体" w:hAnsi="黑体" w:eastAsia="黑体"/>
          <w:b/>
          <w:sz w:val="28"/>
          <w:szCs w:val="28"/>
        </w:rPr>
        <w:t xml:space="preserve">（二）慕课运用方式 </w:t>
      </w:r>
    </w:p>
    <w:p>
      <w:pPr>
        <w:adjustRightInd w:val="0"/>
        <w:ind w:firstLine="560" w:firstLineChars="200"/>
        <w:rPr>
          <w:sz w:val="28"/>
          <w:szCs w:val="28"/>
        </w:rPr>
      </w:pPr>
      <w:r>
        <w:rPr>
          <w:rFonts w:hint="eastAsia"/>
          <w:sz w:val="28"/>
          <w:szCs w:val="28"/>
        </w:rPr>
        <w:t>混合式精品课程是将在线课程以分工合作而非重复方式使用，与实体课堂一起，共同提高学习效果与效率的课程。慕课运用方式</w:t>
      </w:r>
      <w:r>
        <w:rPr>
          <w:sz w:val="28"/>
          <w:szCs w:val="28"/>
        </w:rPr>
        <w:t>有三种</w:t>
      </w:r>
      <w:r>
        <w:rPr>
          <w:rFonts w:hint="eastAsia"/>
          <w:sz w:val="28"/>
          <w:szCs w:val="28"/>
        </w:rPr>
        <w:t>。</w:t>
      </w:r>
    </w:p>
    <w:p>
      <w:pPr>
        <w:adjustRightInd w:val="0"/>
        <w:ind w:firstLine="562" w:firstLineChars="200"/>
        <w:rPr>
          <w:sz w:val="28"/>
          <w:szCs w:val="28"/>
        </w:rPr>
      </w:pPr>
      <w:r>
        <w:rPr>
          <w:rFonts w:ascii="黑体" w:hAnsi="黑体" w:eastAsia="黑体"/>
          <w:b/>
          <w:sz w:val="28"/>
          <w:szCs w:val="28"/>
        </w:rPr>
        <w:t>1</w:t>
      </w:r>
      <w:r>
        <w:rPr>
          <w:rFonts w:hint="eastAsia" w:ascii="黑体" w:hAnsi="黑体" w:eastAsia="黑体"/>
          <w:b/>
          <w:sz w:val="28"/>
          <w:szCs w:val="28"/>
        </w:rPr>
        <w:t>．</w:t>
      </w:r>
      <w:r>
        <w:rPr>
          <w:rFonts w:ascii="黑体" w:hAnsi="黑体" w:eastAsia="黑体"/>
          <w:b/>
          <w:sz w:val="28"/>
          <w:szCs w:val="28"/>
        </w:rPr>
        <w:t>基于</w:t>
      </w:r>
      <w:r>
        <w:rPr>
          <w:rFonts w:hint="eastAsia" w:ascii="黑体" w:hAnsi="黑体" w:eastAsia="黑体"/>
          <w:b/>
          <w:sz w:val="28"/>
          <w:szCs w:val="28"/>
        </w:rPr>
        <w:t>慕课</w:t>
      </w:r>
      <w:r>
        <w:rPr>
          <w:rFonts w:ascii="黑体" w:hAnsi="黑体" w:eastAsia="黑体"/>
          <w:b/>
          <w:sz w:val="28"/>
          <w:szCs w:val="28"/>
        </w:rPr>
        <w:t>的线上线下混合式</w:t>
      </w:r>
      <w:r>
        <w:rPr>
          <w:rFonts w:hint="eastAsia" w:ascii="黑体" w:hAnsi="黑体" w:eastAsia="黑体"/>
          <w:b/>
          <w:sz w:val="28"/>
          <w:szCs w:val="28"/>
        </w:rPr>
        <w:t>精品</w:t>
      </w:r>
      <w:r>
        <w:rPr>
          <w:rFonts w:ascii="黑体" w:hAnsi="黑体" w:eastAsia="黑体"/>
          <w:b/>
          <w:sz w:val="28"/>
          <w:szCs w:val="28"/>
        </w:rPr>
        <w:t>课程</w:t>
      </w:r>
      <w:r>
        <w:rPr>
          <w:rFonts w:hint="eastAsia" w:ascii="黑体" w:hAnsi="黑体" w:eastAsia="黑体"/>
          <w:b/>
          <w:sz w:val="28"/>
          <w:szCs w:val="28"/>
        </w:rPr>
        <w:t>。</w:t>
      </w:r>
      <w:r>
        <w:rPr>
          <w:rFonts w:hint="eastAsia"/>
          <w:sz w:val="28"/>
          <w:szCs w:val="28"/>
        </w:rPr>
        <w:t>在覆盖基本标准基础上，能够应用高质量高水平的慕课，如精品慕课，提升课程内涵。</w:t>
      </w:r>
    </w:p>
    <w:p>
      <w:pPr>
        <w:adjustRightInd w:val="0"/>
        <w:ind w:firstLine="562" w:firstLineChars="200"/>
        <w:rPr>
          <w:sz w:val="28"/>
          <w:szCs w:val="28"/>
        </w:rPr>
      </w:pPr>
      <w:r>
        <w:rPr>
          <w:rFonts w:ascii="黑体" w:hAnsi="黑体" w:eastAsia="黑体"/>
          <w:b/>
          <w:sz w:val="28"/>
          <w:szCs w:val="28"/>
        </w:rPr>
        <w:t>2</w:t>
      </w:r>
      <w:r>
        <w:rPr>
          <w:rFonts w:hint="eastAsia" w:ascii="黑体" w:hAnsi="黑体" w:eastAsia="黑体"/>
          <w:b/>
          <w:sz w:val="28"/>
          <w:szCs w:val="28"/>
        </w:rPr>
        <w:t>．</w:t>
      </w:r>
      <w:r>
        <w:rPr>
          <w:rFonts w:ascii="黑体" w:hAnsi="黑体" w:eastAsia="黑体"/>
          <w:b/>
          <w:sz w:val="28"/>
          <w:szCs w:val="28"/>
        </w:rPr>
        <w:t>基于SPOC的线上线下混合式</w:t>
      </w:r>
      <w:r>
        <w:rPr>
          <w:rFonts w:hint="eastAsia" w:ascii="黑体" w:hAnsi="黑体" w:eastAsia="黑体"/>
          <w:b/>
          <w:sz w:val="28"/>
          <w:szCs w:val="28"/>
        </w:rPr>
        <w:t>精品</w:t>
      </w:r>
      <w:r>
        <w:rPr>
          <w:rFonts w:ascii="黑体" w:hAnsi="黑体" w:eastAsia="黑体"/>
          <w:b/>
          <w:sz w:val="28"/>
          <w:szCs w:val="28"/>
        </w:rPr>
        <w:t>课程</w:t>
      </w:r>
      <w:r>
        <w:rPr>
          <w:rFonts w:hint="eastAsia" w:ascii="黑体" w:hAnsi="黑体" w:eastAsia="黑体"/>
          <w:b/>
          <w:sz w:val="28"/>
          <w:szCs w:val="28"/>
        </w:rPr>
        <w:t>。</w:t>
      </w:r>
      <w:r>
        <w:rPr>
          <w:rFonts w:hint="eastAsia"/>
          <w:sz w:val="28"/>
          <w:szCs w:val="28"/>
        </w:rPr>
        <w:t>除了覆盖基本标准，还要求在S</w:t>
      </w:r>
      <w:r>
        <w:rPr>
          <w:sz w:val="28"/>
          <w:szCs w:val="28"/>
        </w:rPr>
        <w:t>POC</w:t>
      </w:r>
      <w:r>
        <w:rPr>
          <w:rFonts w:hint="eastAsia"/>
          <w:sz w:val="28"/>
          <w:szCs w:val="28"/>
        </w:rPr>
        <w:t>中提供相对完整的</w:t>
      </w:r>
      <w:r>
        <w:rPr>
          <w:sz w:val="28"/>
          <w:szCs w:val="28"/>
        </w:rPr>
        <w:t>讲授视频和配套数字化学习资源</w:t>
      </w:r>
      <w:r>
        <w:rPr>
          <w:rFonts w:hint="eastAsia"/>
          <w:sz w:val="28"/>
          <w:szCs w:val="28"/>
        </w:rPr>
        <w:t>，</w:t>
      </w:r>
      <w:r>
        <w:rPr>
          <w:sz w:val="28"/>
          <w:szCs w:val="28"/>
        </w:rPr>
        <w:t>覆盖</w:t>
      </w:r>
      <w:r>
        <w:rPr>
          <w:rFonts w:hint="eastAsia"/>
          <w:sz w:val="28"/>
          <w:szCs w:val="28"/>
        </w:rPr>
        <w:t>课程</w:t>
      </w:r>
      <w:r>
        <w:rPr>
          <w:sz w:val="28"/>
          <w:szCs w:val="28"/>
        </w:rPr>
        <w:t>大纲要求的教学内容。</w:t>
      </w:r>
    </w:p>
    <w:p>
      <w:pPr>
        <w:adjustRightInd w:val="0"/>
        <w:ind w:firstLine="562" w:firstLineChars="200"/>
        <w:rPr>
          <w:sz w:val="28"/>
          <w:szCs w:val="28"/>
        </w:rPr>
      </w:pPr>
      <w:r>
        <w:rPr>
          <w:rFonts w:ascii="黑体" w:hAnsi="黑体" w:eastAsia="黑体"/>
          <w:b/>
          <w:sz w:val="28"/>
          <w:szCs w:val="28"/>
        </w:rPr>
        <w:t>3</w:t>
      </w:r>
      <w:r>
        <w:rPr>
          <w:rFonts w:hint="eastAsia" w:ascii="黑体" w:hAnsi="黑体" w:eastAsia="黑体"/>
          <w:b/>
          <w:sz w:val="28"/>
          <w:szCs w:val="28"/>
        </w:rPr>
        <w:t>．</w:t>
      </w:r>
      <w:r>
        <w:rPr>
          <w:rFonts w:ascii="黑体" w:hAnsi="黑体" w:eastAsia="黑体"/>
          <w:b/>
          <w:sz w:val="28"/>
          <w:szCs w:val="28"/>
        </w:rPr>
        <w:t>基于MOOC+SPOC的线上线下混合式课程</w:t>
      </w:r>
      <w:r>
        <w:rPr>
          <w:rFonts w:hint="eastAsia" w:ascii="黑体" w:hAnsi="黑体" w:eastAsia="黑体"/>
          <w:b/>
          <w:sz w:val="28"/>
          <w:szCs w:val="28"/>
        </w:rPr>
        <w:t>。</w:t>
      </w:r>
      <w:r>
        <w:rPr>
          <w:rFonts w:hint="eastAsia"/>
          <w:sz w:val="28"/>
          <w:szCs w:val="28"/>
        </w:rPr>
        <w:t>在覆盖基本标准基础上，能够基于高质量高水平慕课（如精品慕课）开展SPOC教学；同时要求在SPOC中有精准的本地化、差异化内容选择方案及特色化视频讲授资源。</w:t>
      </w:r>
    </w:p>
    <w:p>
      <w:pPr>
        <w:adjustRightInd w:val="0"/>
        <w:ind w:firstLine="560" w:firstLineChars="200"/>
        <w:rPr>
          <w:rFonts w:ascii="黑体" w:hAnsi="黑体" w:eastAsia="黑体"/>
          <w:b/>
          <w:sz w:val="28"/>
          <w:szCs w:val="28"/>
        </w:rPr>
      </w:pPr>
      <w:r>
        <w:rPr>
          <w:rFonts w:hint="eastAsia"/>
          <w:sz w:val="28"/>
          <w:szCs w:val="28"/>
        </w:rPr>
        <w:t xml:space="preserve"> </w:t>
      </w:r>
      <w:r>
        <w:rPr>
          <w:rFonts w:hint="eastAsia" w:ascii="黑体" w:hAnsi="黑体" w:eastAsia="黑体"/>
          <w:b/>
          <w:sz w:val="28"/>
          <w:szCs w:val="28"/>
        </w:rPr>
        <w:t xml:space="preserve">（三）混合式教学设计 </w:t>
      </w:r>
    </w:p>
    <w:p>
      <w:pPr>
        <w:adjustRightInd w:val="0"/>
        <w:ind w:firstLine="562" w:firstLineChars="200"/>
        <w:rPr>
          <w:sz w:val="28"/>
          <w:szCs w:val="28"/>
        </w:rPr>
      </w:pPr>
      <w:r>
        <w:rPr>
          <w:rFonts w:hint="eastAsia" w:ascii="黑体" w:hAnsi="黑体" w:eastAsia="黑体"/>
          <w:b/>
          <w:sz w:val="28"/>
          <w:szCs w:val="28"/>
        </w:rPr>
        <w:t>1．</w:t>
      </w:r>
      <w:r>
        <w:rPr>
          <w:rFonts w:ascii="黑体" w:hAnsi="黑体" w:eastAsia="黑体"/>
          <w:b/>
          <w:sz w:val="28"/>
          <w:szCs w:val="28"/>
        </w:rPr>
        <w:t>课程内容设计</w:t>
      </w:r>
      <w:r>
        <w:rPr>
          <w:rFonts w:hint="eastAsia" w:ascii="黑体" w:hAnsi="黑体" w:eastAsia="黑体"/>
          <w:b/>
          <w:sz w:val="28"/>
          <w:szCs w:val="28"/>
        </w:rPr>
        <w:t>。</w:t>
      </w:r>
      <w:r>
        <w:rPr>
          <w:rFonts w:hint="eastAsia"/>
          <w:sz w:val="28"/>
          <w:szCs w:val="28"/>
        </w:rPr>
        <w:t>除了覆盖基本标准外，还要求：课程内容应具有科学性、系统性和先进性，能够采用内容结构图、课程脉络图、思维导图、知识图谱等形式展现课程内容的整体结构设计和分课堂内容设计。混合式课程的内容选择既符合本校学生学习的实际情况，也具有</w:t>
      </w:r>
      <w:r>
        <w:rPr>
          <w:sz w:val="28"/>
          <w:szCs w:val="28"/>
        </w:rPr>
        <w:t>一定</w:t>
      </w:r>
      <w:r>
        <w:rPr>
          <w:rFonts w:hint="eastAsia"/>
          <w:sz w:val="28"/>
          <w:szCs w:val="28"/>
        </w:rPr>
        <w:t>挑战度。</w:t>
      </w:r>
    </w:p>
    <w:p>
      <w:pPr>
        <w:adjustRightInd w:val="0"/>
        <w:ind w:firstLine="562" w:firstLineChars="200"/>
        <w:rPr>
          <w:sz w:val="28"/>
          <w:szCs w:val="28"/>
        </w:rPr>
      </w:pPr>
      <w:r>
        <w:rPr>
          <w:rFonts w:hint="eastAsia" w:ascii="黑体" w:hAnsi="黑体" w:eastAsia="黑体"/>
          <w:b/>
          <w:sz w:val="28"/>
          <w:szCs w:val="28"/>
        </w:rPr>
        <w:t>2．</w:t>
      </w:r>
      <w:r>
        <w:rPr>
          <w:rFonts w:ascii="黑体" w:hAnsi="黑体" w:eastAsia="黑体"/>
          <w:b/>
          <w:sz w:val="28"/>
          <w:szCs w:val="28"/>
        </w:rPr>
        <w:t>教学方法设计</w:t>
      </w:r>
      <w:r>
        <w:rPr>
          <w:rFonts w:hint="eastAsia" w:ascii="黑体" w:hAnsi="黑体" w:eastAsia="黑体"/>
          <w:b/>
          <w:sz w:val="28"/>
          <w:szCs w:val="28"/>
        </w:rPr>
        <w:t>。</w:t>
      </w:r>
      <w:r>
        <w:rPr>
          <w:rFonts w:hint="eastAsia"/>
          <w:sz w:val="28"/>
          <w:szCs w:val="28"/>
        </w:rPr>
        <w:t>除了覆盖基本标准外，还要求：能够结合教学内容，选择合适的先进的教与学方法，能够充分运用慕课和实体课堂，实施满足不同学生需求的分层次教学。慕课与实体课堂是互补的关系，充分利用慕课与实体课堂各自的优势。能够结合本校学生学习基础，做好本地化、差异化、个性化。能够以问题导向、学习阶梯搭建，引导学生低起点开始、高落点结束，提升本校教学的挑战度。鼓励教师针对课程目标设计合适的翻转课堂形式，精准解决本校学生存在的问题。</w:t>
      </w:r>
    </w:p>
    <w:p>
      <w:pPr>
        <w:adjustRightInd w:val="0"/>
        <w:ind w:firstLine="562" w:firstLineChars="200"/>
        <w:rPr>
          <w:sz w:val="28"/>
          <w:szCs w:val="28"/>
        </w:rPr>
      </w:pPr>
      <w:r>
        <w:rPr>
          <w:rFonts w:hint="eastAsia" w:ascii="黑体" w:hAnsi="黑体" w:eastAsia="黑体"/>
          <w:b/>
          <w:sz w:val="28"/>
          <w:szCs w:val="28"/>
        </w:rPr>
        <w:t>3．</w:t>
      </w:r>
      <w:r>
        <w:rPr>
          <w:rFonts w:ascii="黑体" w:hAnsi="黑体" w:eastAsia="黑体"/>
          <w:b/>
          <w:sz w:val="28"/>
          <w:szCs w:val="28"/>
        </w:rPr>
        <w:t>教学活动</w:t>
      </w:r>
      <w:r>
        <w:rPr>
          <w:rFonts w:hint="eastAsia" w:ascii="黑体" w:hAnsi="黑体" w:eastAsia="黑体"/>
          <w:b/>
          <w:sz w:val="28"/>
          <w:szCs w:val="28"/>
        </w:rPr>
        <w:t>设计。</w:t>
      </w:r>
      <w:r>
        <w:rPr>
          <w:rFonts w:hint="eastAsia"/>
          <w:sz w:val="28"/>
          <w:szCs w:val="28"/>
        </w:rPr>
        <w:t>除了覆盖基本标准外，还要求：能够从整体上设计教学活动，并将其分解落实到每一堂课的教学中；能够充分运用在线教学和实体课堂教学特点，针对不同需求的学生，设计不同的教学活动。教学活动应设计合理，有助于学生主动学习目标的实现，有助于课堂教学氛围的改善，对于课程目标达成有明显的支撑作用。</w:t>
      </w:r>
    </w:p>
    <w:p>
      <w:pPr>
        <w:adjustRightInd w:val="0"/>
        <w:ind w:firstLine="562" w:firstLineChars="200"/>
        <w:rPr>
          <w:sz w:val="28"/>
          <w:szCs w:val="28"/>
        </w:rPr>
      </w:pPr>
      <w:r>
        <w:rPr>
          <w:rFonts w:hint="eastAsia" w:ascii="黑体" w:hAnsi="黑体" w:eastAsia="黑体"/>
          <w:b/>
          <w:sz w:val="28"/>
          <w:szCs w:val="28"/>
        </w:rPr>
        <w:t>4．</w:t>
      </w:r>
      <w:r>
        <w:rPr>
          <w:rFonts w:ascii="黑体" w:hAnsi="黑体" w:eastAsia="黑体"/>
          <w:b/>
          <w:sz w:val="28"/>
          <w:szCs w:val="28"/>
        </w:rPr>
        <w:t>考核评价设计</w:t>
      </w:r>
      <w:r>
        <w:rPr>
          <w:rFonts w:hint="eastAsia" w:ascii="黑体" w:hAnsi="黑体" w:eastAsia="黑体"/>
          <w:b/>
          <w:sz w:val="28"/>
          <w:szCs w:val="28"/>
        </w:rPr>
        <w:t>。</w:t>
      </w:r>
      <w:r>
        <w:rPr>
          <w:rFonts w:hint="eastAsia"/>
          <w:sz w:val="28"/>
          <w:szCs w:val="28"/>
        </w:rPr>
        <w:t>除了覆盖基本标准外，还要求：考核评价能够</w:t>
      </w:r>
      <w:r>
        <w:rPr>
          <w:sz w:val="28"/>
          <w:szCs w:val="28"/>
        </w:rPr>
        <w:t>兼顾</w:t>
      </w:r>
      <w:r>
        <w:rPr>
          <w:rFonts w:hint="eastAsia"/>
          <w:sz w:val="28"/>
          <w:szCs w:val="28"/>
        </w:rPr>
        <w:t>线上考核与线下考核、兼顾过程性评价与结果性评价；能够结合课程特点，创新考核形式，如探究式、论文式、报告答辩式等作业评价和非标准化、综合性评价等。考核标准明晰，有一定挑战度的考核占有合适的比例。</w:t>
      </w:r>
    </w:p>
    <w:p>
      <w:pPr>
        <w:adjustRightInd w:val="0"/>
        <w:ind w:firstLine="562" w:firstLineChars="200"/>
        <w:rPr>
          <w:rFonts w:ascii="黑体" w:hAnsi="黑体" w:eastAsia="黑体"/>
          <w:b/>
          <w:sz w:val="28"/>
          <w:szCs w:val="28"/>
        </w:rPr>
      </w:pPr>
      <w:r>
        <w:rPr>
          <w:rFonts w:hint="eastAsia" w:ascii="黑体" w:hAnsi="黑体" w:eastAsia="黑体"/>
          <w:b/>
          <w:sz w:val="28"/>
          <w:szCs w:val="28"/>
        </w:rPr>
        <w:t>（四）混合式教学实施</w:t>
      </w:r>
    </w:p>
    <w:p>
      <w:pPr>
        <w:adjustRightInd w:val="0"/>
        <w:ind w:firstLine="560" w:firstLineChars="200"/>
        <w:rPr>
          <w:sz w:val="28"/>
          <w:szCs w:val="28"/>
        </w:rPr>
      </w:pPr>
      <w:r>
        <w:rPr>
          <w:rFonts w:hint="eastAsia"/>
          <w:sz w:val="28"/>
          <w:szCs w:val="28"/>
        </w:rPr>
        <w:t>混合式精品课程教学文件应完整、齐全，包括但不限于课程大纲、教学设计文件、教学日历、教案（含教学课件）、学生须知（含课程评价标准）、考核试卷与学生成绩单及其分析等，具体要求同基本标准。其中教学设计文件、教学日历、学生须知、学生成绩单等文件应体现出线上线下教学的分工与合作。教学活动实施、</w:t>
      </w:r>
      <w:r>
        <w:rPr>
          <w:sz w:val="28"/>
          <w:szCs w:val="28"/>
        </w:rPr>
        <w:t>教学讨论话题集及讨论过程</w:t>
      </w:r>
      <w:r>
        <w:rPr>
          <w:rFonts w:hint="eastAsia"/>
          <w:sz w:val="28"/>
          <w:szCs w:val="28"/>
        </w:rPr>
        <w:t>、</w:t>
      </w:r>
      <w:r>
        <w:rPr>
          <w:sz w:val="28"/>
          <w:szCs w:val="28"/>
        </w:rPr>
        <w:t>教学实施过程数据</w:t>
      </w:r>
      <w:r>
        <w:rPr>
          <w:rFonts w:hint="eastAsia"/>
          <w:sz w:val="28"/>
          <w:szCs w:val="28"/>
        </w:rPr>
        <w:t>等可追溯。</w:t>
      </w:r>
    </w:p>
    <w:p>
      <w:pPr>
        <w:adjustRightInd w:val="0"/>
        <w:ind w:firstLine="562" w:firstLineChars="200"/>
        <w:rPr>
          <w:sz w:val="28"/>
          <w:szCs w:val="28"/>
        </w:rPr>
      </w:pPr>
      <w:r>
        <w:rPr>
          <w:rFonts w:ascii="黑体" w:hAnsi="黑体" w:eastAsia="黑体"/>
          <w:b/>
          <w:sz w:val="28"/>
          <w:szCs w:val="28"/>
        </w:rPr>
        <w:t>1.教学场景</w:t>
      </w:r>
      <w:r>
        <w:rPr>
          <w:rFonts w:hint="eastAsia" w:ascii="黑体" w:hAnsi="黑体" w:eastAsia="黑体"/>
          <w:b/>
          <w:sz w:val="28"/>
          <w:szCs w:val="28"/>
        </w:rPr>
        <w:t>记录。</w:t>
      </w:r>
      <w:r>
        <w:rPr>
          <w:rFonts w:hint="eastAsia"/>
          <w:sz w:val="28"/>
          <w:szCs w:val="28"/>
        </w:rPr>
        <w:t>以照片或视频的形式清晰记录体现不同教学形式、不同教学方法的教学场景。</w:t>
      </w:r>
    </w:p>
    <w:p>
      <w:pPr>
        <w:adjustRightInd w:val="0"/>
        <w:ind w:firstLine="562" w:firstLineChars="200"/>
        <w:rPr>
          <w:sz w:val="28"/>
          <w:szCs w:val="28"/>
        </w:rPr>
      </w:pPr>
      <w:r>
        <w:rPr>
          <w:rFonts w:ascii="黑体" w:hAnsi="黑体" w:eastAsia="黑体"/>
          <w:b/>
          <w:sz w:val="28"/>
          <w:szCs w:val="28"/>
        </w:rPr>
        <w:t>2.教学方法实施佐证</w:t>
      </w:r>
      <w:r>
        <w:rPr>
          <w:rFonts w:hint="eastAsia" w:ascii="黑体" w:hAnsi="黑体" w:eastAsia="黑体"/>
          <w:b/>
          <w:sz w:val="28"/>
          <w:szCs w:val="28"/>
        </w:rPr>
        <w:t>。</w:t>
      </w:r>
      <w:r>
        <w:rPr>
          <w:rFonts w:hint="eastAsia"/>
          <w:sz w:val="28"/>
          <w:szCs w:val="28"/>
        </w:rPr>
        <w:t>对混合式教学设计指出的特色教学方法形成佐证的材料。</w:t>
      </w:r>
    </w:p>
    <w:p>
      <w:pPr>
        <w:adjustRightInd w:val="0"/>
        <w:ind w:firstLine="562" w:firstLineChars="200"/>
        <w:rPr>
          <w:sz w:val="28"/>
          <w:szCs w:val="28"/>
        </w:rPr>
      </w:pPr>
      <w:r>
        <w:rPr>
          <w:rFonts w:ascii="黑体" w:hAnsi="黑体" w:eastAsia="黑体"/>
          <w:b/>
          <w:sz w:val="28"/>
          <w:szCs w:val="28"/>
        </w:rPr>
        <w:t>3.特色化教学资源</w:t>
      </w:r>
      <w:r>
        <w:rPr>
          <w:rFonts w:hint="eastAsia" w:ascii="黑体" w:hAnsi="黑体" w:eastAsia="黑体"/>
          <w:b/>
          <w:sz w:val="28"/>
          <w:szCs w:val="28"/>
        </w:rPr>
        <w:t>。</w:t>
      </w:r>
      <w:r>
        <w:rPr>
          <w:rFonts w:hint="eastAsia"/>
          <w:sz w:val="28"/>
          <w:szCs w:val="28"/>
        </w:rPr>
        <w:t>对引进慕课做本地化改进的教学资源，包括教学视频、练习题、讨论话题、导学/辅导文档等。</w:t>
      </w:r>
    </w:p>
    <w:p>
      <w:pPr>
        <w:adjustRightInd w:val="0"/>
        <w:ind w:firstLine="562" w:firstLineChars="200"/>
        <w:rPr>
          <w:sz w:val="28"/>
          <w:szCs w:val="28"/>
        </w:rPr>
      </w:pPr>
      <w:r>
        <w:rPr>
          <w:rFonts w:ascii="黑体" w:hAnsi="黑体" w:eastAsia="黑体"/>
          <w:b/>
          <w:sz w:val="28"/>
          <w:szCs w:val="28"/>
        </w:rPr>
        <w:t>4.典型考核评价及典型试卷</w:t>
      </w:r>
      <w:r>
        <w:rPr>
          <w:rFonts w:hint="eastAsia" w:ascii="黑体" w:hAnsi="黑体" w:eastAsia="黑体"/>
          <w:b/>
          <w:sz w:val="28"/>
          <w:szCs w:val="28"/>
        </w:rPr>
        <w:t>。</w:t>
      </w:r>
      <w:r>
        <w:rPr>
          <w:rFonts w:hint="eastAsia"/>
          <w:sz w:val="28"/>
          <w:szCs w:val="28"/>
        </w:rPr>
        <w:t>体现一定难度、一定挑战度的典型考核内容或考核题目及考核结果。</w:t>
      </w:r>
    </w:p>
    <w:p>
      <w:pPr>
        <w:adjustRightInd w:val="0"/>
        <w:ind w:firstLine="562" w:firstLineChars="200"/>
        <w:rPr>
          <w:sz w:val="28"/>
          <w:szCs w:val="28"/>
        </w:rPr>
      </w:pPr>
      <w:r>
        <w:rPr>
          <w:rFonts w:ascii="黑体" w:hAnsi="黑体" w:eastAsia="黑体"/>
          <w:b/>
          <w:sz w:val="28"/>
          <w:szCs w:val="28"/>
        </w:rPr>
        <w:t>5.学生学习援助与指导</w:t>
      </w:r>
      <w:r>
        <w:rPr>
          <w:rFonts w:hint="eastAsia" w:ascii="黑体" w:hAnsi="黑体" w:eastAsia="黑体"/>
          <w:b/>
          <w:sz w:val="28"/>
          <w:szCs w:val="28"/>
        </w:rPr>
        <w:t>。</w:t>
      </w:r>
      <w:r>
        <w:rPr>
          <w:rFonts w:hint="eastAsia"/>
          <w:sz w:val="28"/>
          <w:szCs w:val="28"/>
        </w:rPr>
        <w:t>为学生深度学习课程所提供的各种援助与指导，体现低起点开始、高落点结束，阶梯化学习路径与指导等。</w:t>
      </w:r>
    </w:p>
    <w:p>
      <w:pPr>
        <w:adjustRightInd w:val="0"/>
        <w:ind w:firstLine="562" w:firstLineChars="200"/>
        <w:rPr>
          <w:sz w:val="28"/>
          <w:szCs w:val="28"/>
        </w:rPr>
      </w:pPr>
      <w:r>
        <w:rPr>
          <w:rFonts w:ascii="黑体" w:hAnsi="黑体" w:eastAsia="黑体"/>
          <w:b/>
          <w:sz w:val="28"/>
          <w:szCs w:val="28"/>
        </w:rPr>
        <w:t>6.学生学习</w:t>
      </w:r>
      <w:r>
        <w:rPr>
          <w:rFonts w:hint="eastAsia" w:ascii="黑体" w:hAnsi="黑体" w:eastAsia="黑体"/>
          <w:b/>
          <w:sz w:val="28"/>
          <w:szCs w:val="28"/>
        </w:rPr>
        <w:t>数据及其分析。</w:t>
      </w:r>
      <w:r>
        <w:rPr>
          <w:rFonts w:hint="eastAsia"/>
          <w:sz w:val="28"/>
          <w:szCs w:val="28"/>
        </w:rPr>
        <w:t>展现在校学生的线上学习数据和线下学习数据，并有分析、有思考、有基于教学数据的持续改进等。</w:t>
      </w:r>
    </w:p>
    <w:p>
      <w:pPr>
        <w:spacing w:line="276" w:lineRule="auto"/>
        <w:ind w:firstLine="562" w:firstLineChars="200"/>
        <w:rPr>
          <w:sz w:val="28"/>
          <w:szCs w:val="28"/>
        </w:rPr>
      </w:pPr>
      <w:r>
        <w:rPr>
          <w:rFonts w:hint="eastAsia" w:ascii="黑体" w:hAnsi="黑体" w:eastAsia="黑体"/>
          <w:b/>
          <w:sz w:val="28"/>
          <w:szCs w:val="28"/>
        </w:rPr>
        <w:t>（五）课程教学团队与教学服务</w:t>
      </w:r>
    </w:p>
    <w:p>
      <w:pPr>
        <w:spacing w:line="276" w:lineRule="auto"/>
        <w:ind w:left="140" w:firstLine="420"/>
        <w:rPr>
          <w:rFonts w:cs="楷体"/>
          <w:sz w:val="28"/>
          <w:szCs w:val="28"/>
        </w:rPr>
      </w:pPr>
      <w:r>
        <w:rPr>
          <w:rFonts w:hint="eastAsia" w:cs="楷体"/>
          <w:sz w:val="28"/>
          <w:szCs w:val="28"/>
        </w:rPr>
        <w:t>覆盖基本要求，可在国家精品在线开放课程负责人指导下，建设各级教学名师引领、青年教师作为骨干的</w:t>
      </w:r>
      <w:r>
        <w:rPr>
          <w:rFonts w:cs="楷体"/>
          <w:sz w:val="28"/>
          <w:szCs w:val="28"/>
        </w:rPr>
        <w:t>混合式</w:t>
      </w:r>
      <w:r>
        <w:rPr>
          <w:rFonts w:hint="eastAsia" w:cs="楷体"/>
          <w:sz w:val="28"/>
          <w:szCs w:val="28"/>
        </w:rPr>
        <w:t>课程教学团队。</w:t>
      </w:r>
    </w:p>
    <w:p>
      <w:pPr>
        <w:adjustRightInd w:val="0"/>
        <w:ind w:firstLine="562" w:firstLineChars="200"/>
        <w:rPr>
          <w:rFonts w:ascii="黑体" w:hAnsi="黑体" w:eastAsia="黑体"/>
          <w:b/>
          <w:sz w:val="28"/>
          <w:szCs w:val="28"/>
        </w:rPr>
      </w:pPr>
      <w:r>
        <w:rPr>
          <w:rFonts w:hint="eastAsia" w:ascii="黑体" w:hAnsi="黑体" w:eastAsia="黑体"/>
          <w:b/>
          <w:sz w:val="28"/>
          <w:szCs w:val="28"/>
        </w:rPr>
        <w:t xml:space="preserve">（六）课程特色与推广应用 </w:t>
      </w:r>
    </w:p>
    <w:p>
      <w:pPr>
        <w:adjustRightInd w:val="0"/>
        <w:ind w:firstLine="560" w:firstLineChars="200"/>
        <w:rPr>
          <w:rFonts w:ascii="黑体" w:hAnsi="黑体" w:eastAsia="黑体"/>
          <w:b/>
          <w:sz w:val="28"/>
          <w:szCs w:val="28"/>
        </w:rPr>
      </w:pPr>
      <w:r>
        <w:rPr>
          <w:rFonts w:hint="eastAsia"/>
          <w:sz w:val="28"/>
          <w:szCs w:val="28"/>
        </w:rPr>
        <w:t>课程特色突出，课程内容有优化，学时运用效率高，</w:t>
      </w:r>
      <w:r>
        <w:rPr>
          <w:sz w:val="28"/>
          <w:szCs w:val="28"/>
        </w:rPr>
        <w:t>课程目标达成路径清晰</w:t>
      </w:r>
      <w:r>
        <w:rPr>
          <w:rFonts w:hint="eastAsia"/>
          <w:sz w:val="28"/>
          <w:szCs w:val="28"/>
        </w:rPr>
        <w:t>，效果显著，</w:t>
      </w:r>
      <w:r>
        <w:rPr>
          <w:sz w:val="28"/>
          <w:szCs w:val="28"/>
        </w:rPr>
        <w:t>提升</w:t>
      </w:r>
      <w:r>
        <w:rPr>
          <w:rFonts w:hint="eastAsia"/>
          <w:sz w:val="28"/>
          <w:szCs w:val="28"/>
        </w:rPr>
        <w:t>了</w:t>
      </w:r>
      <w:r>
        <w:rPr>
          <w:sz w:val="28"/>
          <w:szCs w:val="28"/>
        </w:rPr>
        <w:t>学生学习积极性和活跃度</w:t>
      </w:r>
      <w:r>
        <w:rPr>
          <w:rFonts w:hint="eastAsia"/>
          <w:sz w:val="28"/>
          <w:szCs w:val="28"/>
        </w:rPr>
        <w:t>，利用混合式教学，</w:t>
      </w:r>
      <w:r>
        <w:rPr>
          <w:sz w:val="28"/>
          <w:szCs w:val="28"/>
        </w:rPr>
        <w:t>有效解决</w:t>
      </w:r>
      <w:r>
        <w:rPr>
          <w:rFonts w:hint="eastAsia"/>
          <w:sz w:val="28"/>
          <w:szCs w:val="28"/>
        </w:rPr>
        <w:t>了</w:t>
      </w:r>
      <w:r>
        <w:rPr>
          <w:sz w:val="28"/>
          <w:szCs w:val="28"/>
        </w:rPr>
        <w:t>传统课堂教学中存在的典型问题、突出问题</w:t>
      </w:r>
      <w:r>
        <w:rPr>
          <w:rFonts w:hint="eastAsia"/>
          <w:sz w:val="28"/>
          <w:szCs w:val="28"/>
        </w:rPr>
        <w:t>，</w:t>
      </w:r>
      <w:r>
        <w:rPr>
          <w:sz w:val="28"/>
          <w:szCs w:val="28"/>
        </w:rPr>
        <w:t>尤其是针对优质教育资源有限、场地有限、学时有限等带来的各种教学矛盾问题的解决有效果，具有可推广性、可普及性。</w:t>
      </w:r>
      <w:r>
        <w:rPr>
          <w:rFonts w:hint="eastAsia"/>
          <w:sz w:val="28"/>
          <w:szCs w:val="28"/>
        </w:rPr>
        <w:t>混合式课程教学内容至少在</w:t>
      </w:r>
      <w:r>
        <w:rPr>
          <w:sz w:val="28"/>
          <w:szCs w:val="28"/>
        </w:rPr>
        <w:t>其他</w:t>
      </w:r>
      <w:r>
        <w:rPr>
          <w:rFonts w:hint="eastAsia"/>
          <w:sz w:val="28"/>
          <w:szCs w:val="28"/>
        </w:rPr>
        <w:t>2所高校得到应用，并</w:t>
      </w:r>
      <w:r>
        <w:rPr>
          <w:sz w:val="28"/>
          <w:szCs w:val="28"/>
        </w:rPr>
        <w:t>显著</w:t>
      </w:r>
      <w:r>
        <w:rPr>
          <w:rFonts w:hint="eastAsia"/>
          <w:sz w:val="28"/>
          <w:szCs w:val="28"/>
        </w:rPr>
        <w:t>提高了课程教学质量。混合式教学模式在至少在</w:t>
      </w:r>
      <w:r>
        <w:rPr>
          <w:sz w:val="28"/>
          <w:szCs w:val="28"/>
        </w:rPr>
        <w:t>其他</w:t>
      </w:r>
      <w:r>
        <w:rPr>
          <w:rFonts w:hint="eastAsia"/>
          <w:sz w:val="28"/>
          <w:szCs w:val="28"/>
        </w:rPr>
        <w:t>3所高校中得到应用，产生</w:t>
      </w:r>
      <w:r>
        <w:rPr>
          <w:sz w:val="28"/>
          <w:szCs w:val="28"/>
        </w:rPr>
        <w:t>了</w:t>
      </w:r>
      <w:r>
        <w:rPr>
          <w:rFonts w:hint="eastAsia"/>
          <w:sz w:val="28"/>
          <w:szCs w:val="28"/>
        </w:rPr>
        <w:t>示范作用。</w:t>
      </w:r>
    </w:p>
    <w:sectPr>
      <w:footerReference r:id="rId3" w:type="default"/>
      <w:type w:val="continuous"/>
      <w:pgSz w:w="11907" w:h="16839"/>
      <w:pgMar w:top="1440" w:right="1080" w:bottom="1440" w:left="108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4835405"/>
      <w:docPartObj>
        <w:docPartGallery w:val="AutoText"/>
      </w:docPartObj>
    </w:sdtPr>
    <w:sdtContent>
      <w:p>
        <w:pPr>
          <w:pStyle w:val="5"/>
          <w:jc w:val="center"/>
        </w:pPr>
        <w:r>
          <w:fldChar w:fldCharType="begin"/>
        </w:r>
        <w:r>
          <w:instrText xml:space="preserve">PAGE   \* MERGEFORMAT</w:instrText>
        </w:r>
        <w:r>
          <w:fldChar w:fldCharType="separate"/>
        </w:r>
        <w:r>
          <w:rPr>
            <w:lang w:val="zh-CN"/>
          </w:rPr>
          <w:t>12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BF"/>
    <w:rsid w:val="0001008F"/>
    <w:rsid w:val="00013026"/>
    <w:rsid w:val="00013CF8"/>
    <w:rsid w:val="00017375"/>
    <w:rsid w:val="000267FE"/>
    <w:rsid w:val="000279F8"/>
    <w:rsid w:val="00033981"/>
    <w:rsid w:val="00043448"/>
    <w:rsid w:val="00043EEF"/>
    <w:rsid w:val="000449B7"/>
    <w:rsid w:val="0005531C"/>
    <w:rsid w:val="00056C47"/>
    <w:rsid w:val="00066E20"/>
    <w:rsid w:val="0007741E"/>
    <w:rsid w:val="0008151B"/>
    <w:rsid w:val="00085D0F"/>
    <w:rsid w:val="00085EBC"/>
    <w:rsid w:val="0009411D"/>
    <w:rsid w:val="00096A86"/>
    <w:rsid w:val="000A2A83"/>
    <w:rsid w:val="000A67C8"/>
    <w:rsid w:val="000B0907"/>
    <w:rsid w:val="000B1A78"/>
    <w:rsid w:val="000B50C5"/>
    <w:rsid w:val="000C03E7"/>
    <w:rsid w:val="000C0D06"/>
    <w:rsid w:val="000C275E"/>
    <w:rsid w:val="000C386C"/>
    <w:rsid w:val="000D646B"/>
    <w:rsid w:val="000D6B5A"/>
    <w:rsid w:val="000E434D"/>
    <w:rsid w:val="000E6A4E"/>
    <w:rsid w:val="000F14A2"/>
    <w:rsid w:val="000F450D"/>
    <w:rsid w:val="000F6988"/>
    <w:rsid w:val="001007F4"/>
    <w:rsid w:val="00101465"/>
    <w:rsid w:val="0010312C"/>
    <w:rsid w:val="001109EC"/>
    <w:rsid w:val="00113037"/>
    <w:rsid w:val="00113558"/>
    <w:rsid w:val="00115966"/>
    <w:rsid w:val="001239FC"/>
    <w:rsid w:val="00124A9C"/>
    <w:rsid w:val="00125785"/>
    <w:rsid w:val="00126DE2"/>
    <w:rsid w:val="00131567"/>
    <w:rsid w:val="001347DF"/>
    <w:rsid w:val="0013709C"/>
    <w:rsid w:val="0013714D"/>
    <w:rsid w:val="00142624"/>
    <w:rsid w:val="00153F7B"/>
    <w:rsid w:val="0015704A"/>
    <w:rsid w:val="00161C6F"/>
    <w:rsid w:val="00180077"/>
    <w:rsid w:val="001811C9"/>
    <w:rsid w:val="001811F3"/>
    <w:rsid w:val="0018147D"/>
    <w:rsid w:val="001849E8"/>
    <w:rsid w:val="0018602E"/>
    <w:rsid w:val="00186767"/>
    <w:rsid w:val="00186949"/>
    <w:rsid w:val="0019291C"/>
    <w:rsid w:val="00193EEE"/>
    <w:rsid w:val="00194EC3"/>
    <w:rsid w:val="001950DB"/>
    <w:rsid w:val="001A6A17"/>
    <w:rsid w:val="001B046E"/>
    <w:rsid w:val="001B34A9"/>
    <w:rsid w:val="001B6F4D"/>
    <w:rsid w:val="001C1803"/>
    <w:rsid w:val="001C4BCF"/>
    <w:rsid w:val="001D2C57"/>
    <w:rsid w:val="001D52BA"/>
    <w:rsid w:val="001D640B"/>
    <w:rsid w:val="001E2581"/>
    <w:rsid w:val="001E4BE1"/>
    <w:rsid w:val="001F206D"/>
    <w:rsid w:val="001F5974"/>
    <w:rsid w:val="00201710"/>
    <w:rsid w:val="002039E6"/>
    <w:rsid w:val="00206873"/>
    <w:rsid w:val="00206DC9"/>
    <w:rsid w:val="00215DFA"/>
    <w:rsid w:val="00216187"/>
    <w:rsid w:val="002206C7"/>
    <w:rsid w:val="0022092F"/>
    <w:rsid w:val="00221C51"/>
    <w:rsid w:val="00224107"/>
    <w:rsid w:val="002254C6"/>
    <w:rsid w:val="00225EC5"/>
    <w:rsid w:val="002306C9"/>
    <w:rsid w:val="002351F0"/>
    <w:rsid w:val="00236E80"/>
    <w:rsid w:val="00241CB5"/>
    <w:rsid w:val="00242B26"/>
    <w:rsid w:val="002442AD"/>
    <w:rsid w:val="0024484A"/>
    <w:rsid w:val="00247662"/>
    <w:rsid w:val="00252B2D"/>
    <w:rsid w:val="00254EAC"/>
    <w:rsid w:val="00257A9D"/>
    <w:rsid w:val="002622D8"/>
    <w:rsid w:val="00264861"/>
    <w:rsid w:val="002657B3"/>
    <w:rsid w:val="00265E76"/>
    <w:rsid w:val="00270A8E"/>
    <w:rsid w:val="00272567"/>
    <w:rsid w:val="00275FFF"/>
    <w:rsid w:val="00281546"/>
    <w:rsid w:val="00293EC9"/>
    <w:rsid w:val="00297F16"/>
    <w:rsid w:val="002A2355"/>
    <w:rsid w:val="002A6236"/>
    <w:rsid w:val="002B070A"/>
    <w:rsid w:val="002C0DE5"/>
    <w:rsid w:val="002C6F3A"/>
    <w:rsid w:val="002C7C2B"/>
    <w:rsid w:val="002D14F8"/>
    <w:rsid w:val="002E11F5"/>
    <w:rsid w:val="002E6AEB"/>
    <w:rsid w:val="002F4334"/>
    <w:rsid w:val="00302015"/>
    <w:rsid w:val="003067BD"/>
    <w:rsid w:val="00310E09"/>
    <w:rsid w:val="00312792"/>
    <w:rsid w:val="0031422E"/>
    <w:rsid w:val="00316962"/>
    <w:rsid w:val="00322D68"/>
    <w:rsid w:val="00327395"/>
    <w:rsid w:val="00344B17"/>
    <w:rsid w:val="003465F8"/>
    <w:rsid w:val="003511F7"/>
    <w:rsid w:val="00353699"/>
    <w:rsid w:val="00353FCD"/>
    <w:rsid w:val="00362499"/>
    <w:rsid w:val="0036291A"/>
    <w:rsid w:val="00367406"/>
    <w:rsid w:val="003707E7"/>
    <w:rsid w:val="003725B9"/>
    <w:rsid w:val="0037410A"/>
    <w:rsid w:val="003768E3"/>
    <w:rsid w:val="003813A8"/>
    <w:rsid w:val="00382BB3"/>
    <w:rsid w:val="0038565E"/>
    <w:rsid w:val="00391303"/>
    <w:rsid w:val="00397087"/>
    <w:rsid w:val="003A1791"/>
    <w:rsid w:val="003A322E"/>
    <w:rsid w:val="003A56FB"/>
    <w:rsid w:val="003A5D3F"/>
    <w:rsid w:val="003B0DA6"/>
    <w:rsid w:val="003B0F5B"/>
    <w:rsid w:val="003B458C"/>
    <w:rsid w:val="003B76D2"/>
    <w:rsid w:val="003D0D9B"/>
    <w:rsid w:val="003E1212"/>
    <w:rsid w:val="003E5BD3"/>
    <w:rsid w:val="003F406D"/>
    <w:rsid w:val="003F73C9"/>
    <w:rsid w:val="00403AAA"/>
    <w:rsid w:val="00404971"/>
    <w:rsid w:val="00410FBA"/>
    <w:rsid w:val="004236FA"/>
    <w:rsid w:val="00433180"/>
    <w:rsid w:val="00440F05"/>
    <w:rsid w:val="00444912"/>
    <w:rsid w:val="0044567F"/>
    <w:rsid w:val="00447648"/>
    <w:rsid w:val="004546AB"/>
    <w:rsid w:val="004713B0"/>
    <w:rsid w:val="00474572"/>
    <w:rsid w:val="0048410F"/>
    <w:rsid w:val="00485A14"/>
    <w:rsid w:val="00486D9C"/>
    <w:rsid w:val="004873F9"/>
    <w:rsid w:val="004874DB"/>
    <w:rsid w:val="004902C1"/>
    <w:rsid w:val="00495F62"/>
    <w:rsid w:val="004A3BDE"/>
    <w:rsid w:val="004B3DC3"/>
    <w:rsid w:val="004C50A4"/>
    <w:rsid w:val="004D041A"/>
    <w:rsid w:val="004D0DEF"/>
    <w:rsid w:val="004D1CF4"/>
    <w:rsid w:val="004D4238"/>
    <w:rsid w:val="004E7165"/>
    <w:rsid w:val="004F0B36"/>
    <w:rsid w:val="004F254B"/>
    <w:rsid w:val="004F4715"/>
    <w:rsid w:val="00500284"/>
    <w:rsid w:val="005018E4"/>
    <w:rsid w:val="00504017"/>
    <w:rsid w:val="00507308"/>
    <w:rsid w:val="00511154"/>
    <w:rsid w:val="005134F8"/>
    <w:rsid w:val="00514F01"/>
    <w:rsid w:val="005215A3"/>
    <w:rsid w:val="00524D93"/>
    <w:rsid w:val="00525EAC"/>
    <w:rsid w:val="0052779F"/>
    <w:rsid w:val="005353BF"/>
    <w:rsid w:val="005368AA"/>
    <w:rsid w:val="00540135"/>
    <w:rsid w:val="00540677"/>
    <w:rsid w:val="00542BF6"/>
    <w:rsid w:val="00542C01"/>
    <w:rsid w:val="00542E97"/>
    <w:rsid w:val="00547B2D"/>
    <w:rsid w:val="00550A96"/>
    <w:rsid w:val="005515AE"/>
    <w:rsid w:val="0055218C"/>
    <w:rsid w:val="005652C7"/>
    <w:rsid w:val="0056794B"/>
    <w:rsid w:val="00567A98"/>
    <w:rsid w:val="005715F7"/>
    <w:rsid w:val="005721A6"/>
    <w:rsid w:val="00574F5F"/>
    <w:rsid w:val="00574F71"/>
    <w:rsid w:val="00576614"/>
    <w:rsid w:val="005815AD"/>
    <w:rsid w:val="00583F80"/>
    <w:rsid w:val="0058552D"/>
    <w:rsid w:val="00592075"/>
    <w:rsid w:val="00593F1A"/>
    <w:rsid w:val="005943AB"/>
    <w:rsid w:val="005A1329"/>
    <w:rsid w:val="005A4CE2"/>
    <w:rsid w:val="005A6FE9"/>
    <w:rsid w:val="005B5246"/>
    <w:rsid w:val="005C10C0"/>
    <w:rsid w:val="005C2E73"/>
    <w:rsid w:val="005C4451"/>
    <w:rsid w:val="005D0DB4"/>
    <w:rsid w:val="005D1110"/>
    <w:rsid w:val="005D26AB"/>
    <w:rsid w:val="005E260A"/>
    <w:rsid w:val="005E46FC"/>
    <w:rsid w:val="005E71CE"/>
    <w:rsid w:val="005F74FE"/>
    <w:rsid w:val="00601B00"/>
    <w:rsid w:val="00601D5A"/>
    <w:rsid w:val="0060272B"/>
    <w:rsid w:val="0061678F"/>
    <w:rsid w:val="0063096E"/>
    <w:rsid w:val="006310CB"/>
    <w:rsid w:val="00633B1B"/>
    <w:rsid w:val="0063486A"/>
    <w:rsid w:val="00635959"/>
    <w:rsid w:val="00636F95"/>
    <w:rsid w:val="00637D00"/>
    <w:rsid w:val="00642634"/>
    <w:rsid w:val="006443CE"/>
    <w:rsid w:val="00650AA9"/>
    <w:rsid w:val="00651720"/>
    <w:rsid w:val="00651F72"/>
    <w:rsid w:val="0065473C"/>
    <w:rsid w:val="00655D92"/>
    <w:rsid w:val="0066158E"/>
    <w:rsid w:val="00661C26"/>
    <w:rsid w:val="006628D5"/>
    <w:rsid w:val="00680CF9"/>
    <w:rsid w:val="00682076"/>
    <w:rsid w:val="00683342"/>
    <w:rsid w:val="006903F6"/>
    <w:rsid w:val="006956E6"/>
    <w:rsid w:val="006A3015"/>
    <w:rsid w:val="006A3315"/>
    <w:rsid w:val="006A6A10"/>
    <w:rsid w:val="006B0220"/>
    <w:rsid w:val="006B73E7"/>
    <w:rsid w:val="006C45BF"/>
    <w:rsid w:val="006C68B5"/>
    <w:rsid w:val="006D0797"/>
    <w:rsid w:val="006D22C0"/>
    <w:rsid w:val="006D5245"/>
    <w:rsid w:val="006D6086"/>
    <w:rsid w:val="006D74E1"/>
    <w:rsid w:val="006E0026"/>
    <w:rsid w:val="006E5EC6"/>
    <w:rsid w:val="006E64C2"/>
    <w:rsid w:val="00702109"/>
    <w:rsid w:val="007047E2"/>
    <w:rsid w:val="007061AF"/>
    <w:rsid w:val="007120F6"/>
    <w:rsid w:val="00713DB7"/>
    <w:rsid w:val="00721EFE"/>
    <w:rsid w:val="00730C4A"/>
    <w:rsid w:val="007314FE"/>
    <w:rsid w:val="00731A52"/>
    <w:rsid w:val="0074088C"/>
    <w:rsid w:val="00741367"/>
    <w:rsid w:val="0074169D"/>
    <w:rsid w:val="00742165"/>
    <w:rsid w:val="00744E7D"/>
    <w:rsid w:val="007507E6"/>
    <w:rsid w:val="00755514"/>
    <w:rsid w:val="00760ADA"/>
    <w:rsid w:val="00763013"/>
    <w:rsid w:val="007647F0"/>
    <w:rsid w:val="007707E2"/>
    <w:rsid w:val="00772198"/>
    <w:rsid w:val="007748B1"/>
    <w:rsid w:val="00774C62"/>
    <w:rsid w:val="00777949"/>
    <w:rsid w:val="00781C63"/>
    <w:rsid w:val="007843A2"/>
    <w:rsid w:val="00790927"/>
    <w:rsid w:val="00794FCE"/>
    <w:rsid w:val="00795C24"/>
    <w:rsid w:val="007A3F54"/>
    <w:rsid w:val="007B170A"/>
    <w:rsid w:val="007B2E30"/>
    <w:rsid w:val="007B4287"/>
    <w:rsid w:val="007B5AE5"/>
    <w:rsid w:val="007C23AA"/>
    <w:rsid w:val="007C4A6F"/>
    <w:rsid w:val="007D4595"/>
    <w:rsid w:val="007E4BAC"/>
    <w:rsid w:val="007F0A22"/>
    <w:rsid w:val="007F30BE"/>
    <w:rsid w:val="00802F1D"/>
    <w:rsid w:val="00803DE0"/>
    <w:rsid w:val="00812AA3"/>
    <w:rsid w:val="00826E8E"/>
    <w:rsid w:val="00832BF3"/>
    <w:rsid w:val="0083397C"/>
    <w:rsid w:val="00834648"/>
    <w:rsid w:val="00834E48"/>
    <w:rsid w:val="00836DED"/>
    <w:rsid w:val="00841A88"/>
    <w:rsid w:val="00843896"/>
    <w:rsid w:val="00852032"/>
    <w:rsid w:val="008605B9"/>
    <w:rsid w:val="00861F6F"/>
    <w:rsid w:val="0087296A"/>
    <w:rsid w:val="00873F06"/>
    <w:rsid w:val="00874903"/>
    <w:rsid w:val="00877062"/>
    <w:rsid w:val="008776FD"/>
    <w:rsid w:val="008833E6"/>
    <w:rsid w:val="008A22EA"/>
    <w:rsid w:val="008B2C23"/>
    <w:rsid w:val="008C0077"/>
    <w:rsid w:val="008C7038"/>
    <w:rsid w:val="008E0F86"/>
    <w:rsid w:val="008E5367"/>
    <w:rsid w:val="008E6956"/>
    <w:rsid w:val="008E7052"/>
    <w:rsid w:val="008E7886"/>
    <w:rsid w:val="008F0F7B"/>
    <w:rsid w:val="008F1649"/>
    <w:rsid w:val="008F1AB7"/>
    <w:rsid w:val="008F366C"/>
    <w:rsid w:val="008F611B"/>
    <w:rsid w:val="008F6356"/>
    <w:rsid w:val="00902D44"/>
    <w:rsid w:val="0091364D"/>
    <w:rsid w:val="00913663"/>
    <w:rsid w:val="009165BE"/>
    <w:rsid w:val="009252E7"/>
    <w:rsid w:val="00932182"/>
    <w:rsid w:val="00937183"/>
    <w:rsid w:val="00940219"/>
    <w:rsid w:val="00941AEE"/>
    <w:rsid w:val="00944507"/>
    <w:rsid w:val="009445F3"/>
    <w:rsid w:val="009558E8"/>
    <w:rsid w:val="00957278"/>
    <w:rsid w:val="0096272B"/>
    <w:rsid w:val="009649C3"/>
    <w:rsid w:val="00965E65"/>
    <w:rsid w:val="00966F09"/>
    <w:rsid w:val="00967946"/>
    <w:rsid w:val="00967B82"/>
    <w:rsid w:val="009707D1"/>
    <w:rsid w:val="00975711"/>
    <w:rsid w:val="0097642A"/>
    <w:rsid w:val="0097753A"/>
    <w:rsid w:val="00977D15"/>
    <w:rsid w:val="00977E78"/>
    <w:rsid w:val="00980E56"/>
    <w:rsid w:val="00982FD4"/>
    <w:rsid w:val="00987E3C"/>
    <w:rsid w:val="00990DCA"/>
    <w:rsid w:val="009935BB"/>
    <w:rsid w:val="00997E8D"/>
    <w:rsid w:val="009A0E74"/>
    <w:rsid w:val="009A1F7B"/>
    <w:rsid w:val="009A7FEB"/>
    <w:rsid w:val="009B0DAB"/>
    <w:rsid w:val="009B1566"/>
    <w:rsid w:val="009B2BE7"/>
    <w:rsid w:val="009B7C64"/>
    <w:rsid w:val="009C5B58"/>
    <w:rsid w:val="009D186B"/>
    <w:rsid w:val="009E0E04"/>
    <w:rsid w:val="009E6A0F"/>
    <w:rsid w:val="009E733C"/>
    <w:rsid w:val="009F5932"/>
    <w:rsid w:val="009F774C"/>
    <w:rsid w:val="00A010FC"/>
    <w:rsid w:val="00A03D31"/>
    <w:rsid w:val="00A0481F"/>
    <w:rsid w:val="00A1133D"/>
    <w:rsid w:val="00A22745"/>
    <w:rsid w:val="00A2457C"/>
    <w:rsid w:val="00A2636B"/>
    <w:rsid w:val="00A33090"/>
    <w:rsid w:val="00A33EC9"/>
    <w:rsid w:val="00A35AC6"/>
    <w:rsid w:val="00A40621"/>
    <w:rsid w:val="00A54356"/>
    <w:rsid w:val="00A57D11"/>
    <w:rsid w:val="00A643F4"/>
    <w:rsid w:val="00A67A15"/>
    <w:rsid w:val="00A71013"/>
    <w:rsid w:val="00A74EFC"/>
    <w:rsid w:val="00A750BF"/>
    <w:rsid w:val="00A763EA"/>
    <w:rsid w:val="00A768A6"/>
    <w:rsid w:val="00A842F7"/>
    <w:rsid w:val="00A87A76"/>
    <w:rsid w:val="00A90DA8"/>
    <w:rsid w:val="00A944EC"/>
    <w:rsid w:val="00A96E2F"/>
    <w:rsid w:val="00AA08E8"/>
    <w:rsid w:val="00AA4BF4"/>
    <w:rsid w:val="00AB3B09"/>
    <w:rsid w:val="00AB5515"/>
    <w:rsid w:val="00AC09C4"/>
    <w:rsid w:val="00AC1581"/>
    <w:rsid w:val="00AC2325"/>
    <w:rsid w:val="00AC3DE3"/>
    <w:rsid w:val="00AC6870"/>
    <w:rsid w:val="00AC7DE2"/>
    <w:rsid w:val="00AD2DDE"/>
    <w:rsid w:val="00AE535A"/>
    <w:rsid w:val="00AE7E2F"/>
    <w:rsid w:val="00AF1ED8"/>
    <w:rsid w:val="00AF2653"/>
    <w:rsid w:val="00AF2CB4"/>
    <w:rsid w:val="00AF3602"/>
    <w:rsid w:val="00AF5D20"/>
    <w:rsid w:val="00B00957"/>
    <w:rsid w:val="00B057AF"/>
    <w:rsid w:val="00B064C6"/>
    <w:rsid w:val="00B10A52"/>
    <w:rsid w:val="00B13DAE"/>
    <w:rsid w:val="00B23997"/>
    <w:rsid w:val="00B24284"/>
    <w:rsid w:val="00B24EA0"/>
    <w:rsid w:val="00B3198D"/>
    <w:rsid w:val="00B34A12"/>
    <w:rsid w:val="00B4108A"/>
    <w:rsid w:val="00B65375"/>
    <w:rsid w:val="00B6569E"/>
    <w:rsid w:val="00B67861"/>
    <w:rsid w:val="00B71A82"/>
    <w:rsid w:val="00B858A9"/>
    <w:rsid w:val="00B862E2"/>
    <w:rsid w:val="00B93C43"/>
    <w:rsid w:val="00B93D30"/>
    <w:rsid w:val="00BA14E0"/>
    <w:rsid w:val="00BA3F03"/>
    <w:rsid w:val="00BA4028"/>
    <w:rsid w:val="00BA60A1"/>
    <w:rsid w:val="00BA6A1B"/>
    <w:rsid w:val="00BA6B2B"/>
    <w:rsid w:val="00BB0024"/>
    <w:rsid w:val="00BB702C"/>
    <w:rsid w:val="00BC10A0"/>
    <w:rsid w:val="00BC1567"/>
    <w:rsid w:val="00BC28B2"/>
    <w:rsid w:val="00BC4FC5"/>
    <w:rsid w:val="00BC7DED"/>
    <w:rsid w:val="00BD0AC5"/>
    <w:rsid w:val="00BD53BD"/>
    <w:rsid w:val="00BD706E"/>
    <w:rsid w:val="00BE26F2"/>
    <w:rsid w:val="00BE2F8E"/>
    <w:rsid w:val="00BE43F1"/>
    <w:rsid w:val="00BF4AD8"/>
    <w:rsid w:val="00BF5486"/>
    <w:rsid w:val="00C05E1F"/>
    <w:rsid w:val="00C05F12"/>
    <w:rsid w:val="00C1008D"/>
    <w:rsid w:val="00C12EB4"/>
    <w:rsid w:val="00C14348"/>
    <w:rsid w:val="00C264C1"/>
    <w:rsid w:val="00C278F5"/>
    <w:rsid w:val="00C33FBC"/>
    <w:rsid w:val="00C340E7"/>
    <w:rsid w:val="00C40A29"/>
    <w:rsid w:val="00C42FB7"/>
    <w:rsid w:val="00C4358E"/>
    <w:rsid w:val="00C5312B"/>
    <w:rsid w:val="00C62519"/>
    <w:rsid w:val="00C66917"/>
    <w:rsid w:val="00C7406E"/>
    <w:rsid w:val="00C8161A"/>
    <w:rsid w:val="00C8469D"/>
    <w:rsid w:val="00C93642"/>
    <w:rsid w:val="00CA001B"/>
    <w:rsid w:val="00CA0B09"/>
    <w:rsid w:val="00CB76BA"/>
    <w:rsid w:val="00CC02C4"/>
    <w:rsid w:val="00CC6BA8"/>
    <w:rsid w:val="00CD33E8"/>
    <w:rsid w:val="00CE06BD"/>
    <w:rsid w:val="00CE0B1E"/>
    <w:rsid w:val="00CE3D1A"/>
    <w:rsid w:val="00CF024F"/>
    <w:rsid w:val="00CF47B1"/>
    <w:rsid w:val="00D0072F"/>
    <w:rsid w:val="00D0520D"/>
    <w:rsid w:val="00D10464"/>
    <w:rsid w:val="00D1526D"/>
    <w:rsid w:val="00D229F4"/>
    <w:rsid w:val="00D240B7"/>
    <w:rsid w:val="00D3034C"/>
    <w:rsid w:val="00D3372C"/>
    <w:rsid w:val="00D35D92"/>
    <w:rsid w:val="00D46851"/>
    <w:rsid w:val="00D47ECC"/>
    <w:rsid w:val="00D50FC5"/>
    <w:rsid w:val="00D54780"/>
    <w:rsid w:val="00D65160"/>
    <w:rsid w:val="00D70350"/>
    <w:rsid w:val="00D7380B"/>
    <w:rsid w:val="00D77DA3"/>
    <w:rsid w:val="00D80315"/>
    <w:rsid w:val="00D83B4E"/>
    <w:rsid w:val="00D85F09"/>
    <w:rsid w:val="00D90296"/>
    <w:rsid w:val="00DA7108"/>
    <w:rsid w:val="00DB788E"/>
    <w:rsid w:val="00DC6047"/>
    <w:rsid w:val="00DD2494"/>
    <w:rsid w:val="00DD7B75"/>
    <w:rsid w:val="00DE42CD"/>
    <w:rsid w:val="00DE69E7"/>
    <w:rsid w:val="00DE7A4D"/>
    <w:rsid w:val="00DF06EA"/>
    <w:rsid w:val="00DF32AC"/>
    <w:rsid w:val="00DF5D82"/>
    <w:rsid w:val="00DF71D9"/>
    <w:rsid w:val="00DF7637"/>
    <w:rsid w:val="00E040FD"/>
    <w:rsid w:val="00E20B6B"/>
    <w:rsid w:val="00E21A41"/>
    <w:rsid w:val="00E25CF0"/>
    <w:rsid w:val="00E3371F"/>
    <w:rsid w:val="00E42C6B"/>
    <w:rsid w:val="00E754EA"/>
    <w:rsid w:val="00E75900"/>
    <w:rsid w:val="00E7798E"/>
    <w:rsid w:val="00E818BB"/>
    <w:rsid w:val="00E86705"/>
    <w:rsid w:val="00E87783"/>
    <w:rsid w:val="00E93F9E"/>
    <w:rsid w:val="00E9455D"/>
    <w:rsid w:val="00E94841"/>
    <w:rsid w:val="00E96DBF"/>
    <w:rsid w:val="00EA009A"/>
    <w:rsid w:val="00EA0709"/>
    <w:rsid w:val="00EA09F6"/>
    <w:rsid w:val="00EA58D4"/>
    <w:rsid w:val="00EA5D22"/>
    <w:rsid w:val="00EB4A77"/>
    <w:rsid w:val="00EC3706"/>
    <w:rsid w:val="00EC49CD"/>
    <w:rsid w:val="00EC4C42"/>
    <w:rsid w:val="00ED7134"/>
    <w:rsid w:val="00ED72C6"/>
    <w:rsid w:val="00EE287C"/>
    <w:rsid w:val="00EE597B"/>
    <w:rsid w:val="00EE735E"/>
    <w:rsid w:val="00EF497C"/>
    <w:rsid w:val="00EF7221"/>
    <w:rsid w:val="00F1174B"/>
    <w:rsid w:val="00F11FA6"/>
    <w:rsid w:val="00F13BED"/>
    <w:rsid w:val="00F14FE9"/>
    <w:rsid w:val="00F15049"/>
    <w:rsid w:val="00F15A9C"/>
    <w:rsid w:val="00F23516"/>
    <w:rsid w:val="00F23700"/>
    <w:rsid w:val="00F27EDA"/>
    <w:rsid w:val="00F31492"/>
    <w:rsid w:val="00F350D4"/>
    <w:rsid w:val="00F43938"/>
    <w:rsid w:val="00F43DEB"/>
    <w:rsid w:val="00F4538A"/>
    <w:rsid w:val="00F60327"/>
    <w:rsid w:val="00F60D50"/>
    <w:rsid w:val="00F61B5B"/>
    <w:rsid w:val="00F64247"/>
    <w:rsid w:val="00F654B5"/>
    <w:rsid w:val="00F656B6"/>
    <w:rsid w:val="00F663DB"/>
    <w:rsid w:val="00F77317"/>
    <w:rsid w:val="00F77B76"/>
    <w:rsid w:val="00F81624"/>
    <w:rsid w:val="00F82ADE"/>
    <w:rsid w:val="00F967FC"/>
    <w:rsid w:val="00FA038A"/>
    <w:rsid w:val="00FA0C6A"/>
    <w:rsid w:val="00FA10CF"/>
    <w:rsid w:val="00FA2325"/>
    <w:rsid w:val="00FA3CB6"/>
    <w:rsid w:val="00FA4945"/>
    <w:rsid w:val="00FA6AB5"/>
    <w:rsid w:val="00FB27F6"/>
    <w:rsid w:val="00FB2884"/>
    <w:rsid w:val="00FB3F8E"/>
    <w:rsid w:val="00FB54F0"/>
    <w:rsid w:val="00FC7D61"/>
    <w:rsid w:val="00FD564D"/>
    <w:rsid w:val="00FD61EA"/>
    <w:rsid w:val="00FE00AF"/>
    <w:rsid w:val="00FE131D"/>
    <w:rsid w:val="00FE258B"/>
    <w:rsid w:val="00FE2F7A"/>
    <w:rsid w:val="00FF2315"/>
    <w:rsid w:val="3DB8686D"/>
    <w:rsid w:val="78594606"/>
    <w:rsid w:val="7A9E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9"/>
    <w:semiHidden/>
    <w:unhideWhenUsed/>
    <w:uiPriority w:val="99"/>
    <w:pPr>
      <w:ind w:left="100" w:leftChars="2500"/>
    </w:pPr>
  </w:style>
  <w:style w:type="paragraph" w:styleId="4">
    <w:name w:val="Balloon Text"/>
    <w:basedOn w:val="1"/>
    <w:link w:val="18"/>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paragraph" w:customStyle="1" w:styleId="13">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14">
    <w:name w:val="List Paragraph"/>
    <w:basedOn w:val="1"/>
    <w:qFormat/>
    <w:uiPriority w:val="34"/>
    <w:pPr>
      <w:ind w:firstLine="420" w:firstLineChars="200"/>
    </w:pPr>
  </w:style>
  <w:style w:type="paragraph" w:customStyle="1" w:styleId="15">
    <w:name w:val="列出段落1"/>
    <w:basedOn w:val="1"/>
    <w:uiPriority w:val="0"/>
    <w:pPr>
      <w:ind w:firstLine="420" w:firstLineChars="200"/>
    </w:pPr>
    <w:rPr>
      <w:rFonts w:ascii="Calibri" w:hAnsi="Calibri" w:cs="Times New Roman"/>
    </w:rPr>
  </w:style>
  <w:style w:type="character" w:customStyle="1" w:styleId="16">
    <w:name w:val="页眉 Char"/>
    <w:basedOn w:val="11"/>
    <w:link w:val="6"/>
    <w:uiPriority w:val="99"/>
    <w:rPr>
      <w:sz w:val="18"/>
      <w:szCs w:val="18"/>
    </w:rPr>
  </w:style>
  <w:style w:type="character" w:customStyle="1" w:styleId="17">
    <w:name w:val="页脚 Char"/>
    <w:basedOn w:val="11"/>
    <w:link w:val="5"/>
    <w:qFormat/>
    <w:uiPriority w:val="99"/>
    <w:rPr>
      <w:sz w:val="18"/>
      <w:szCs w:val="18"/>
    </w:rPr>
  </w:style>
  <w:style w:type="character" w:customStyle="1" w:styleId="18">
    <w:name w:val="批注框文本 Char"/>
    <w:basedOn w:val="11"/>
    <w:link w:val="4"/>
    <w:semiHidden/>
    <w:qFormat/>
    <w:uiPriority w:val="99"/>
    <w:rPr>
      <w:sz w:val="18"/>
      <w:szCs w:val="18"/>
    </w:rPr>
  </w:style>
  <w:style w:type="character" w:customStyle="1" w:styleId="19">
    <w:name w:val="日期 Char"/>
    <w:basedOn w:val="11"/>
    <w:link w:val="3"/>
    <w:semiHidden/>
    <w:qFormat/>
    <w:uiPriority w:val="99"/>
  </w:style>
  <w:style w:type="character" w:customStyle="1" w:styleId="20">
    <w:name w:val="批注文字 Char"/>
    <w:basedOn w:val="11"/>
    <w:link w:val="2"/>
    <w:semiHidden/>
    <w:qFormat/>
    <w:uiPriority w:val="99"/>
  </w:style>
  <w:style w:type="character" w:customStyle="1" w:styleId="21">
    <w:name w:val="批注主题 Char"/>
    <w:basedOn w:val="20"/>
    <w:link w:val="8"/>
    <w:semiHidden/>
    <w:qFormat/>
    <w:uiPriority w:val="99"/>
    <w:rPr>
      <w:b/>
      <w:bCs/>
    </w:rPr>
  </w:style>
  <w:style w:type="paragraph" w:customStyle="1" w:styleId="22">
    <w:name w:val="Revision"/>
    <w:hidden/>
    <w:semiHidden/>
    <w:uiPriority w:val="99"/>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2089</Words>
  <Characters>11912</Characters>
  <Lines>99</Lines>
  <Paragraphs>27</Paragraphs>
  <TotalTime>574</TotalTime>
  <ScaleCrop>false</ScaleCrop>
  <LinksUpToDate>false</LinksUpToDate>
  <CharactersWithSpaces>13974</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2019-11-05T10:21:00Z</dcterms:created>
  <dc:creator>Windows 用户</dc:creator>
  <cp:lastModifiedBy>溪中青石</cp:lastModifiedBy>
  <cp:lastPrinted>2019-05-24T06:53:00Z</cp:lastPrinted>
  <dcterms:modified xsi:type="dcterms:W3CDTF">2020-10-23T06:27:19Z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