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D2D" w:rsidRDefault="00E81D2D" w:rsidP="009427D8">
      <w:pPr>
        <w:widowControl/>
        <w:shd w:val="clear" w:color="auto" w:fill="FFFFFF"/>
        <w:jc w:val="center"/>
        <w:rPr>
          <w:rFonts w:ascii="黑体" w:eastAsia="黑体" w:hAnsi="黑体" w:cs="宋体" w:hint="eastAsia"/>
          <w:kern w:val="0"/>
          <w:sz w:val="32"/>
          <w:szCs w:val="32"/>
        </w:rPr>
      </w:pPr>
      <w:r>
        <w:rPr>
          <w:rFonts w:ascii="黑体" w:eastAsia="黑体" w:hAnsi="黑体" w:cs="宋体" w:hint="eastAsia"/>
          <w:noProof/>
          <w:kern w:val="0"/>
          <w:sz w:val="32"/>
          <w:szCs w:val="32"/>
        </w:rPr>
        <w:drawing>
          <wp:inline distT="0" distB="0" distL="0" distR="0">
            <wp:extent cx="5274310" cy="1389380"/>
            <wp:effectExtent l="19050" t="0" r="2540" b="0"/>
            <wp:docPr id="2" name="图片 1" descr="QQ截图20150601170608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60117060811111.png"/>
                    <pic:cNvPicPr/>
                  </pic:nvPicPr>
                  <pic:blipFill>
                    <a:blip r:embed="rId6"/>
                    <a:stretch>
                      <a:fillRect/>
                    </a:stretch>
                  </pic:blipFill>
                  <pic:spPr>
                    <a:xfrm>
                      <a:off x="0" y="0"/>
                      <a:ext cx="5274310" cy="1389380"/>
                    </a:xfrm>
                    <a:prstGeom prst="rect">
                      <a:avLst/>
                    </a:prstGeom>
                  </pic:spPr>
                </pic:pic>
              </a:graphicData>
            </a:graphic>
          </wp:inline>
        </w:drawing>
      </w:r>
    </w:p>
    <w:p w:rsidR="009427D8" w:rsidRPr="009427D8" w:rsidRDefault="009427D8" w:rsidP="009427D8">
      <w:pPr>
        <w:widowControl/>
        <w:shd w:val="clear" w:color="auto" w:fill="FFFFFF"/>
        <w:jc w:val="center"/>
        <w:rPr>
          <w:rFonts w:ascii="微软雅黑" w:eastAsia="微软雅黑" w:hAnsi="微软雅黑" w:cs="宋体" w:hint="eastAsia"/>
          <w:kern w:val="0"/>
          <w:sz w:val="36"/>
          <w:szCs w:val="36"/>
        </w:rPr>
      </w:pPr>
      <w:r w:rsidRPr="009427D8">
        <w:rPr>
          <w:rFonts w:ascii="黑体" w:eastAsia="黑体" w:hAnsi="黑体" w:cs="宋体" w:hint="eastAsia"/>
          <w:kern w:val="0"/>
          <w:sz w:val="32"/>
          <w:szCs w:val="32"/>
        </w:rPr>
        <w:t>辽宁省教育厅关于公布2014年辽宁省普通高等学校本科专业综合评价结果的通知</w:t>
      </w:r>
    </w:p>
    <w:p w:rsidR="009427D8" w:rsidRPr="009427D8" w:rsidRDefault="009427D8" w:rsidP="009427D8">
      <w:pPr>
        <w:widowControl/>
        <w:shd w:val="clear" w:color="auto" w:fill="FFFFFF"/>
        <w:spacing w:line="420" w:lineRule="atLeast"/>
        <w:jc w:val="left"/>
        <w:rPr>
          <w:rFonts w:ascii="仿宋_GB2312" w:eastAsia="仿宋_GB2312" w:hAnsi="宋体" w:cs="宋体" w:hint="eastAsia"/>
          <w:kern w:val="0"/>
          <w:sz w:val="30"/>
          <w:szCs w:val="30"/>
        </w:rPr>
      </w:pPr>
      <w:r w:rsidRPr="009427D8">
        <w:rPr>
          <w:rFonts w:ascii="仿宋_GB2312" w:eastAsia="仿宋_GB2312" w:hAnsi="宋体" w:cs="宋体" w:hint="eastAsia"/>
          <w:kern w:val="0"/>
          <w:sz w:val="30"/>
          <w:szCs w:val="30"/>
        </w:rPr>
        <w:t>省内各普通本科高等学校：</w:t>
      </w:r>
    </w:p>
    <w:p w:rsidR="009427D8" w:rsidRPr="009427D8" w:rsidRDefault="009427D8" w:rsidP="009427D8">
      <w:pPr>
        <w:widowControl/>
        <w:shd w:val="clear" w:color="auto" w:fill="FFFFFF"/>
        <w:spacing w:line="420" w:lineRule="atLeast"/>
        <w:jc w:val="left"/>
        <w:rPr>
          <w:rFonts w:ascii="仿宋_GB2312" w:eastAsia="仿宋_GB2312" w:hAnsi="宋体" w:cs="宋体" w:hint="eastAsia"/>
          <w:kern w:val="0"/>
          <w:sz w:val="30"/>
          <w:szCs w:val="30"/>
        </w:rPr>
      </w:pPr>
      <w:r w:rsidRPr="009427D8">
        <w:rPr>
          <w:rFonts w:ascii="仿宋_GB2312" w:eastAsia="仿宋_GB2312" w:hAnsi="宋体" w:cs="宋体" w:hint="eastAsia"/>
          <w:kern w:val="0"/>
          <w:sz w:val="30"/>
          <w:szCs w:val="30"/>
        </w:rPr>
        <w:t xml:space="preserve">　　根据《辽宁省教育厅办公室关于开展2014年普通高等学校本科专业综合评价工作的通知》（辽教办发[2014]192号）精神以及省委省政府的新要求，在2012、2013年专业综合评价工作基础上，我厅对省内54所高校开设的经济学等38种463个本科专业布点开展了综合评价工作。现将评价结果（见附件）予以公布。</w:t>
      </w:r>
    </w:p>
    <w:p w:rsidR="009427D8" w:rsidRPr="009427D8" w:rsidRDefault="009427D8" w:rsidP="009427D8">
      <w:pPr>
        <w:widowControl/>
        <w:shd w:val="clear" w:color="auto" w:fill="FFFFFF"/>
        <w:spacing w:line="420" w:lineRule="atLeast"/>
        <w:jc w:val="left"/>
        <w:rPr>
          <w:rFonts w:ascii="仿宋_GB2312" w:eastAsia="仿宋_GB2312" w:hAnsi="宋体" w:cs="宋体" w:hint="eastAsia"/>
          <w:kern w:val="0"/>
          <w:sz w:val="30"/>
          <w:szCs w:val="30"/>
        </w:rPr>
      </w:pPr>
      <w:r w:rsidRPr="009427D8">
        <w:rPr>
          <w:rFonts w:ascii="仿宋_GB2312" w:eastAsia="仿宋_GB2312" w:hAnsi="宋体" w:cs="宋体" w:hint="eastAsia"/>
          <w:kern w:val="0"/>
          <w:sz w:val="30"/>
          <w:szCs w:val="30"/>
        </w:rPr>
        <w:t xml:space="preserve">　　根据本次评价结果，对参评专业布点在5个以上，每种参评专业评价成绩前20%的专业点予以经费支持，促进其进一步加强专业建设，其中，经二次核查、核实确认，无效数据总量前20位及存在重复使用教师情况的11个专业点取消奖励资格；对评价成绩后10%，且总分在70分以下的37个专业点的相关高校进行约谈；对评价成绩在60分以下的13个专业点中的非艺术类专业于2015年起、艺术类专业于2016年起限制招生规模在60人以下。</w:t>
      </w:r>
    </w:p>
    <w:p w:rsidR="009427D8" w:rsidRPr="009427D8" w:rsidRDefault="009427D8" w:rsidP="009427D8">
      <w:pPr>
        <w:widowControl/>
        <w:shd w:val="clear" w:color="auto" w:fill="FFFFFF"/>
        <w:spacing w:line="420" w:lineRule="atLeast"/>
        <w:jc w:val="left"/>
        <w:rPr>
          <w:rFonts w:ascii="仿宋_GB2312" w:eastAsia="仿宋_GB2312" w:hAnsi="宋体" w:cs="宋体" w:hint="eastAsia"/>
          <w:kern w:val="0"/>
          <w:sz w:val="30"/>
          <w:szCs w:val="30"/>
        </w:rPr>
      </w:pPr>
      <w:r w:rsidRPr="009427D8">
        <w:rPr>
          <w:rFonts w:ascii="仿宋_GB2312" w:eastAsia="仿宋_GB2312" w:hAnsi="宋体" w:cs="宋体" w:hint="eastAsia"/>
          <w:kern w:val="0"/>
          <w:sz w:val="30"/>
          <w:szCs w:val="30"/>
        </w:rPr>
        <w:lastRenderedPageBreak/>
        <w:t xml:space="preserve">　　对在评价中出现专业教师重复使用、经各教指委和省数据核实工作组二次核查、核实后仍存在无效数据数量较多的专业点，予以通报批评。对存在挪用外校教师及本校非本专业教师情况的专业点相关高校进行约谈。</w:t>
      </w:r>
    </w:p>
    <w:p w:rsidR="009427D8" w:rsidRPr="009427D8" w:rsidRDefault="009427D8" w:rsidP="009427D8">
      <w:pPr>
        <w:widowControl/>
        <w:shd w:val="clear" w:color="auto" w:fill="FFFFFF"/>
        <w:spacing w:line="420" w:lineRule="atLeast"/>
        <w:jc w:val="left"/>
        <w:rPr>
          <w:rFonts w:ascii="仿宋_GB2312" w:eastAsia="仿宋_GB2312" w:hAnsi="宋体" w:cs="宋体" w:hint="eastAsia"/>
          <w:kern w:val="0"/>
          <w:sz w:val="30"/>
          <w:szCs w:val="30"/>
        </w:rPr>
      </w:pPr>
      <w:r w:rsidRPr="009427D8">
        <w:rPr>
          <w:rFonts w:ascii="宋体" w:eastAsia="仿宋_GB2312" w:hAnsi="宋体" w:cs="宋体" w:hint="eastAsia"/>
          <w:kern w:val="0"/>
          <w:sz w:val="30"/>
          <w:szCs w:val="30"/>
        </w:rPr>
        <w:t>  </w:t>
      </w:r>
      <w:r w:rsidRPr="009427D8">
        <w:rPr>
          <w:rFonts w:ascii="仿宋_GB2312" w:eastAsia="仿宋_GB2312" w:hAnsi="宋体" w:cs="宋体" w:hint="eastAsia"/>
          <w:kern w:val="0"/>
          <w:sz w:val="30"/>
          <w:szCs w:val="30"/>
        </w:rPr>
        <w:t>希望各高校切实把人才培养作为根本任务，以主动适应经济社会发展新常态为导向，根据社会实际需要，加大专业结构调整力度，优化人才培养类别结构，把关注和促进学生健康成长作为学校工作的出发点和落脚点，加强内涵建设，创新培养机制，凝练办学特色，提高培养质量，加快提升我省高等教育服务经济社会发展的能力和水平。</w:t>
      </w:r>
    </w:p>
    <w:p w:rsidR="009427D8" w:rsidRPr="009427D8" w:rsidRDefault="009427D8" w:rsidP="009427D8">
      <w:pPr>
        <w:widowControl/>
        <w:shd w:val="clear" w:color="auto" w:fill="FFFFFF"/>
        <w:spacing w:line="420" w:lineRule="atLeast"/>
        <w:jc w:val="left"/>
        <w:rPr>
          <w:rFonts w:ascii="仿宋_GB2312" w:eastAsia="仿宋_GB2312" w:hAnsi="宋体" w:cs="宋体" w:hint="eastAsia"/>
          <w:kern w:val="0"/>
          <w:sz w:val="30"/>
          <w:szCs w:val="30"/>
        </w:rPr>
      </w:pPr>
      <w:r w:rsidRPr="009427D8">
        <w:rPr>
          <w:rFonts w:ascii="宋体" w:eastAsia="仿宋_GB2312" w:hAnsi="宋体" w:cs="宋体" w:hint="eastAsia"/>
          <w:kern w:val="0"/>
          <w:sz w:val="30"/>
          <w:szCs w:val="30"/>
        </w:rPr>
        <w:t> </w:t>
      </w:r>
    </w:p>
    <w:p w:rsidR="009427D8" w:rsidRPr="009427D8" w:rsidRDefault="009427D8" w:rsidP="009427D8">
      <w:pPr>
        <w:widowControl/>
        <w:shd w:val="clear" w:color="auto" w:fill="FFFFFF"/>
        <w:spacing w:line="420" w:lineRule="atLeast"/>
        <w:jc w:val="left"/>
        <w:rPr>
          <w:rFonts w:ascii="仿宋_GB2312" w:eastAsia="仿宋_GB2312" w:hAnsi="宋体" w:cs="宋体" w:hint="eastAsia"/>
          <w:kern w:val="0"/>
          <w:sz w:val="30"/>
          <w:szCs w:val="30"/>
        </w:rPr>
      </w:pPr>
      <w:r w:rsidRPr="009427D8">
        <w:rPr>
          <w:rFonts w:ascii="宋体" w:eastAsia="仿宋_GB2312" w:hAnsi="宋体" w:cs="宋体" w:hint="eastAsia"/>
          <w:kern w:val="0"/>
          <w:sz w:val="30"/>
          <w:szCs w:val="30"/>
        </w:rPr>
        <w:t>  </w:t>
      </w:r>
      <w:hyperlink r:id="rId7" w:tooltip="附件1：2014年辽宁省普通高等学校本科专业综合评价结果" w:history="1">
        <w:r w:rsidRPr="009427D8">
          <w:rPr>
            <w:rFonts w:ascii="仿宋_GB2312" w:eastAsia="仿宋_GB2312" w:hAnsi="宋体" w:cs="宋体" w:hint="eastAsia"/>
            <w:color w:val="0000FF"/>
            <w:kern w:val="0"/>
            <w:sz w:val="30"/>
            <w:szCs w:val="30"/>
          </w:rPr>
          <w:t>附件1：2014年辽宁省普通高等学校本科专业综合评价结果</w:t>
        </w:r>
      </w:hyperlink>
    </w:p>
    <w:p w:rsidR="009427D8" w:rsidRPr="009427D8" w:rsidRDefault="009427D8" w:rsidP="009427D8">
      <w:pPr>
        <w:widowControl/>
        <w:shd w:val="clear" w:color="auto" w:fill="FFFFFF"/>
        <w:spacing w:line="420" w:lineRule="atLeast"/>
        <w:jc w:val="left"/>
        <w:rPr>
          <w:rFonts w:ascii="仿宋_GB2312" w:eastAsia="仿宋_GB2312" w:hAnsi="宋体" w:cs="宋体" w:hint="eastAsia"/>
          <w:kern w:val="0"/>
          <w:sz w:val="30"/>
          <w:szCs w:val="30"/>
        </w:rPr>
      </w:pPr>
      <w:r w:rsidRPr="009427D8">
        <w:rPr>
          <w:rFonts w:ascii="宋体" w:eastAsia="仿宋_GB2312" w:hAnsi="宋体" w:cs="宋体" w:hint="eastAsia"/>
          <w:kern w:val="0"/>
          <w:sz w:val="30"/>
          <w:szCs w:val="30"/>
        </w:rPr>
        <w:t>  </w:t>
      </w:r>
      <w:hyperlink r:id="rId8" w:tooltip="附件2：2014年辽宁省普通高等学校本科专业综合评价工作报告" w:history="1">
        <w:r w:rsidRPr="009427D8">
          <w:rPr>
            <w:rFonts w:ascii="仿宋_GB2312" w:eastAsia="仿宋_GB2312" w:hAnsi="宋体" w:cs="宋体" w:hint="eastAsia"/>
            <w:color w:val="0000FF"/>
            <w:kern w:val="0"/>
            <w:sz w:val="30"/>
            <w:szCs w:val="30"/>
          </w:rPr>
          <w:t>附件2：2014年辽宁省普通高等学校本科专业综合评价工作报告</w:t>
        </w:r>
      </w:hyperlink>
    </w:p>
    <w:p w:rsidR="009427D8" w:rsidRPr="009427D8" w:rsidRDefault="009427D8" w:rsidP="009427D8">
      <w:pPr>
        <w:widowControl/>
        <w:shd w:val="clear" w:color="auto" w:fill="FFFFFF"/>
        <w:spacing w:line="420" w:lineRule="atLeast"/>
        <w:jc w:val="left"/>
        <w:rPr>
          <w:rFonts w:ascii="仿宋_GB2312" w:eastAsia="仿宋_GB2312" w:hAnsi="宋体" w:cs="宋体" w:hint="eastAsia"/>
          <w:kern w:val="0"/>
          <w:sz w:val="30"/>
          <w:szCs w:val="30"/>
        </w:rPr>
      </w:pPr>
      <w:r w:rsidRPr="009427D8">
        <w:rPr>
          <w:rFonts w:ascii="宋体" w:eastAsia="仿宋_GB2312" w:hAnsi="宋体" w:cs="宋体" w:hint="eastAsia"/>
          <w:kern w:val="0"/>
          <w:sz w:val="30"/>
          <w:szCs w:val="30"/>
        </w:rPr>
        <w:t> </w:t>
      </w:r>
    </w:p>
    <w:p w:rsidR="009427D8" w:rsidRPr="004E708A" w:rsidRDefault="009427D8" w:rsidP="004E708A">
      <w:pPr>
        <w:rPr>
          <w:rFonts w:ascii="仿宋_GB2312" w:eastAsia="仿宋_GB2312" w:hint="eastAsia"/>
          <w:sz w:val="30"/>
          <w:szCs w:val="30"/>
        </w:rPr>
      </w:pPr>
      <w:r w:rsidRPr="009427D8">
        <w:rPr>
          <w:rFonts w:ascii="宋体" w:hint="eastAsia"/>
          <w:kern w:val="0"/>
        </w:rPr>
        <w:t>                         </w:t>
      </w:r>
      <w:r w:rsidRPr="009427D8">
        <w:rPr>
          <w:rFonts w:hint="eastAsia"/>
          <w:kern w:val="0"/>
        </w:rPr>
        <w:t xml:space="preserve">                          </w:t>
      </w:r>
      <w:r w:rsidR="004E708A">
        <w:rPr>
          <w:rFonts w:hint="eastAsia"/>
          <w:kern w:val="0"/>
        </w:rPr>
        <w:t xml:space="preserve">               </w:t>
      </w:r>
      <w:r w:rsidRPr="004E708A">
        <w:rPr>
          <w:rFonts w:ascii="仿宋_GB2312" w:eastAsia="仿宋_GB2312" w:hint="eastAsia"/>
          <w:sz w:val="30"/>
          <w:szCs w:val="30"/>
        </w:rPr>
        <w:t>辽宁省教育厅</w:t>
      </w:r>
    </w:p>
    <w:p w:rsidR="009427D8" w:rsidRPr="004E708A" w:rsidRDefault="009427D8" w:rsidP="004E708A">
      <w:pPr>
        <w:rPr>
          <w:rFonts w:ascii="仿宋_GB2312" w:eastAsia="仿宋_GB2312" w:hint="eastAsia"/>
          <w:sz w:val="30"/>
          <w:szCs w:val="30"/>
        </w:rPr>
      </w:pPr>
      <w:r w:rsidRPr="004E708A">
        <w:rPr>
          <w:rFonts w:eastAsia="仿宋_GB2312" w:hint="eastAsia"/>
          <w:sz w:val="30"/>
          <w:szCs w:val="30"/>
        </w:rPr>
        <w:t>                                                 </w:t>
      </w:r>
      <w:r w:rsidRPr="004E708A">
        <w:rPr>
          <w:rFonts w:ascii="仿宋_GB2312" w:eastAsia="仿宋_GB2312" w:hint="eastAsia"/>
          <w:sz w:val="30"/>
          <w:szCs w:val="30"/>
        </w:rPr>
        <w:t xml:space="preserve"> </w:t>
      </w:r>
      <w:r w:rsidRPr="004E708A">
        <w:rPr>
          <w:rFonts w:eastAsia="仿宋_GB2312" w:hint="eastAsia"/>
          <w:sz w:val="30"/>
          <w:szCs w:val="30"/>
        </w:rPr>
        <w:t>    </w:t>
      </w:r>
      <w:r w:rsidRPr="004E708A">
        <w:rPr>
          <w:rFonts w:ascii="仿宋_GB2312" w:eastAsia="仿宋_GB2312" w:hint="eastAsia"/>
          <w:sz w:val="30"/>
          <w:szCs w:val="30"/>
        </w:rPr>
        <w:t xml:space="preserve"> </w:t>
      </w:r>
      <w:r w:rsidR="004E708A">
        <w:rPr>
          <w:rFonts w:ascii="仿宋_GB2312" w:eastAsia="仿宋_GB2312" w:hint="eastAsia"/>
          <w:sz w:val="30"/>
          <w:szCs w:val="30"/>
        </w:rPr>
        <w:t xml:space="preserve">          </w:t>
      </w:r>
      <w:r w:rsidRPr="004E708A">
        <w:rPr>
          <w:rFonts w:ascii="仿宋_GB2312" w:eastAsia="仿宋_GB2312" w:hint="eastAsia"/>
          <w:sz w:val="30"/>
          <w:szCs w:val="30"/>
        </w:rPr>
        <w:t>2015年6月1日</w:t>
      </w:r>
    </w:p>
    <w:p w:rsidR="00247DA9" w:rsidRDefault="00247DA9" w:rsidP="009427D8">
      <w:pPr>
        <w:spacing w:line="440" w:lineRule="exact"/>
      </w:pPr>
    </w:p>
    <w:sectPr w:rsidR="00247D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DA9" w:rsidRDefault="00247DA9" w:rsidP="009427D8">
      <w:r>
        <w:separator/>
      </w:r>
    </w:p>
  </w:endnote>
  <w:endnote w:type="continuationSeparator" w:id="1">
    <w:p w:rsidR="00247DA9" w:rsidRDefault="00247DA9" w:rsidP="009427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DA9" w:rsidRDefault="00247DA9" w:rsidP="009427D8">
      <w:r>
        <w:separator/>
      </w:r>
    </w:p>
  </w:footnote>
  <w:footnote w:type="continuationSeparator" w:id="1">
    <w:p w:rsidR="00247DA9" w:rsidRDefault="00247DA9" w:rsidP="009427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7D8"/>
    <w:rsid w:val="00247DA9"/>
    <w:rsid w:val="004E708A"/>
    <w:rsid w:val="009427D8"/>
    <w:rsid w:val="00E81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27D8"/>
    <w:rPr>
      <w:sz w:val="18"/>
      <w:szCs w:val="18"/>
    </w:rPr>
  </w:style>
  <w:style w:type="paragraph" w:styleId="a4">
    <w:name w:val="footer"/>
    <w:basedOn w:val="a"/>
    <w:link w:val="Char0"/>
    <w:uiPriority w:val="99"/>
    <w:semiHidden/>
    <w:unhideWhenUsed/>
    <w:rsid w:val="009427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27D8"/>
    <w:rPr>
      <w:sz w:val="18"/>
      <w:szCs w:val="18"/>
    </w:rPr>
  </w:style>
  <w:style w:type="character" w:styleId="a5">
    <w:name w:val="Hyperlink"/>
    <w:basedOn w:val="a0"/>
    <w:uiPriority w:val="99"/>
    <w:semiHidden/>
    <w:unhideWhenUsed/>
    <w:rsid w:val="009427D8"/>
    <w:rPr>
      <w:strike w:val="0"/>
      <w:dstrike w:val="0"/>
      <w:color w:val="0000FF"/>
      <w:u w:val="none"/>
      <w:effect w:val="none"/>
    </w:rPr>
  </w:style>
  <w:style w:type="paragraph" w:styleId="a6">
    <w:name w:val="Normal (Web)"/>
    <w:basedOn w:val="a"/>
    <w:uiPriority w:val="99"/>
    <w:semiHidden/>
    <w:unhideWhenUsed/>
    <w:rsid w:val="009427D8"/>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0235049">
      <w:marLeft w:val="0"/>
      <w:marRight w:val="0"/>
      <w:marTop w:val="0"/>
      <w:marBottom w:val="0"/>
      <w:divBdr>
        <w:top w:val="none" w:sz="0" w:space="0" w:color="auto"/>
        <w:left w:val="none" w:sz="0" w:space="0" w:color="auto"/>
        <w:bottom w:val="none" w:sz="0" w:space="0" w:color="auto"/>
        <w:right w:val="none" w:sz="0" w:space="0" w:color="auto"/>
      </w:divBdr>
      <w:divsChild>
        <w:div w:id="1378817137">
          <w:marLeft w:val="0"/>
          <w:marRight w:val="0"/>
          <w:marTop w:val="0"/>
          <w:marBottom w:val="0"/>
          <w:divBdr>
            <w:top w:val="none" w:sz="0" w:space="0" w:color="auto"/>
            <w:left w:val="none" w:sz="0" w:space="0" w:color="auto"/>
            <w:bottom w:val="none" w:sz="0" w:space="0" w:color="auto"/>
            <w:right w:val="none" w:sz="0" w:space="0" w:color="auto"/>
          </w:divBdr>
        </w:div>
        <w:div w:id="1077095838">
          <w:marLeft w:val="0"/>
          <w:marRight w:val="0"/>
          <w:marTop w:val="300"/>
          <w:marBottom w:val="0"/>
          <w:divBdr>
            <w:top w:val="none" w:sz="0" w:space="0" w:color="auto"/>
            <w:left w:val="none" w:sz="0" w:space="0" w:color="auto"/>
            <w:bottom w:val="none" w:sz="0" w:space="0" w:color="auto"/>
            <w:right w:val="none" w:sz="0" w:space="0" w:color="auto"/>
          </w:divBdr>
          <w:divsChild>
            <w:div w:id="11277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8012">
      <w:marLeft w:val="0"/>
      <w:marRight w:val="0"/>
      <w:marTop w:val="0"/>
      <w:marBottom w:val="0"/>
      <w:divBdr>
        <w:top w:val="none" w:sz="0" w:space="0" w:color="auto"/>
        <w:left w:val="none" w:sz="0" w:space="0" w:color="auto"/>
        <w:bottom w:val="none" w:sz="0" w:space="0" w:color="auto"/>
        <w:right w:val="none" w:sz="0" w:space="0" w:color="auto"/>
      </w:divBdr>
      <w:divsChild>
        <w:div w:id="1720975607">
          <w:marLeft w:val="0"/>
          <w:marRight w:val="0"/>
          <w:marTop w:val="0"/>
          <w:marBottom w:val="0"/>
          <w:divBdr>
            <w:top w:val="none" w:sz="0" w:space="0" w:color="auto"/>
            <w:left w:val="none" w:sz="0" w:space="0" w:color="auto"/>
            <w:bottom w:val="none" w:sz="0" w:space="0" w:color="auto"/>
            <w:right w:val="none" w:sz="0" w:space="0" w:color="auto"/>
          </w:divBdr>
        </w:div>
        <w:div w:id="756823902">
          <w:marLeft w:val="0"/>
          <w:marRight w:val="0"/>
          <w:marTop w:val="300"/>
          <w:marBottom w:val="0"/>
          <w:divBdr>
            <w:top w:val="none" w:sz="0" w:space="0" w:color="auto"/>
            <w:left w:val="none" w:sz="0" w:space="0" w:color="auto"/>
            <w:bottom w:val="none" w:sz="0" w:space="0" w:color="auto"/>
            <w:right w:val="none" w:sz="0" w:space="0" w:color="auto"/>
          </w:divBdr>
          <w:divsChild>
            <w:div w:id="50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en.cn/tcms/CatalogResources.frontDownload.zaction?ID=1798" TargetMode="External"/><Relationship Id="rId3" Type="http://schemas.openxmlformats.org/officeDocument/2006/relationships/webSettings" Target="webSettings.xml"/><Relationship Id="rId7" Type="http://schemas.openxmlformats.org/officeDocument/2006/relationships/hyperlink" Target="http://www.lnen.cn/tcms/CatalogResources.frontDownload.zaction?ID=17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纪常鲲</dc:creator>
  <cp:keywords/>
  <dc:description/>
  <cp:lastModifiedBy>纪常鲲</cp:lastModifiedBy>
  <cp:revision>5</cp:revision>
  <dcterms:created xsi:type="dcterms:W3CDTF">2015-06-01T09:01:00Z</dcterms:created>
  <dcterms:modified xsi:type="dcterms:W3CDTF">2015-06-01T09:08:00Z</dcterms:modified>
</cp:coreProperties>
</file>